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ACV &amp; Depreciation Worksheet</w:t>
      </w:r>
    </w:p>
    <w:p>
      <w:pPr>
        <w:spacing w:after="120"/>
      </w:pPr>
      <w:r>
        <w:rPr>
          <w:i/>
          <w:iCs/>
          <w:sz w:val="20"/>
          <w:szCs w:val="20"/>
        </w:rPr>
        <w:t xml:space="preserve">Fillable template. Everything highlighted in yellow is yours to replace — 15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claims.professionaldrafter.com/estimating-and-reserves/acv-depreciation-worksheet/</w:t>
      </w:r>
    </w:p>
    <w:p/>
    <w:p>
      <w:pPr>
        <w:pStyle w:val="Heading2"/>
      </w:pPr>
      <w:r>
        <w:t xml:space="preserve">Claim identification and valuation basis</w:t>
      </w:r>
    </w:p>
    <w:p>
      <w:pPr>
        <w:spacing w:after="120"/>
      </w:pPr>
      <w:r>
        <w:rPr>
          <w:i/>
          <w:iCs/>
          <w:sz w:val="18"/>
          <w:szCs w:val="18"/>
        </w:rPr>
        <w:t xml:space="preserve">State, before any arithmetic, which basis the worksheet is worked on and where that comes from: the policy's own valuation wording, and the state's rule if the state has one. Model 902 §9(B)(1) frames actual cash value, on residential fire and extended coverage written on an ACV basis, as replacement cost at the time of loss less depreciation, and contemplates that on the insured's request the insurer provides a copy of the claim file worksheets detailing the deductions for depreciation. It binds nobody until a state adopts it, so name the adopting citation if your state has one and say plainly if it does not.</w:t>
      </w:r>
    </w:p>
    <w:p>
      <w:pPr>
        <w:spacing w:after="120"/>
      </w:pPr>
      <w:r>
        <w:t xml:space="preserve">Claim number: </w:t>
      </w:r>
      <w:r>
        <w:rPr>
          <w:highlight w:val="yellow"/>
          <w:highlightCs w:val="yellow"/>
        </w:rPr>
        <w:t xml:space="preserve">[ ______________________ ]</w:t>
      </w:r>
    </w:p>
    <w:p>
      <w:pPr>
        <w:spacing w:after="120"/>
      </w:pPr>
      <w:r>
        <w:t xml:space="preserve">Risk state: </w:t>
      </w:r>
      <w:r>
        <w:rPr>
          <w:highlight w:val="yellow"/>
          <w:highlightCs w:val="yellow"/>
        </w:rPr>
        <w:t xml:space="preserve">[ ______________________ ]</w:t>
      </w:r>
    </w:p>
    <w:p>
      <w:pPr>
        <w:spacing w:after="120"/>
      </w:pPr>
      <w:r>
        <w:t xml:space="preserve">Valuation basis applied: </w:t>
      </w:r>
      <w:r>
        <w:rPr>
          <w:highlight w:val="yellow"/>
          <w:highlightCs w:val="yellow"/>
        </w:rPr>
        <w:t xml:space="preserve">[ ______________________ ]</w:t>
      </w:r>
    </w:p>
    <w:p>
      <w:pPr>
        <w:spacing w:after="120"/>
      </w:pPr>
      <w:r>
        <w:t xml:space="preserve">Estimate date and preparer: </w:t>
      </w:r>
      <w:r>
        <w:rPr>
          <w:highlight w:val="yellow"/>
          <w:highlightCs w:val="yellow"/>
        </w:rPr>
        <w:t xml:space="preserve">[ ______________________ ]</w:t>
      </w:r>
    </w:p>
    <w:p>
      <w:pPr>
        <w:spacing w:after="120"/>
      </w:pPr>
      <w:r>
        <w:rPr>
          <w:highlight w:val="yellow"/>
          <w:highlightCs w:val="yellow"/>
        </w:rPr>
        <w:t xml:space="preserve">[Claim number; insured; date of loss; risk state; policy form and its valuation wording; valuation basis applied (replacement cost less depreciation / statutory definition / broad evidence rule); the citation relied on, or a note that the state has none and the policy wording governs.]</w:t>
      </w:r>
    </w:p>
    <w:p/>
    <w:p>
      <w:pPr>
        <w:pStyle w:val="Heading2"/>
      </w:pPr>
      <w:r>
        <w:t xml:space="preserve">Depreciation method and its limits</w:t>
      </w:r>
    </w:p>
    <w:p>
      <w:pPr>
        <w:spacing w:after="120"/>
      </w:pPr>
      <w:r>
        <w:rPr>
          <w:i/>
          <w:iCs/>
          <w:sz w:val="18"/>
          <w:szCs w:val="18"/>
        </w:rPr>
        <w:t xml:space="preserve">Say which method you used and what you excluded from it. Straight-line by age over expected life is the usual approach; condition adjustment on top of it is common and should be identified separately when used. This is also where any state-specific restriction is recorded. California, for example, provides at Ins. Code §2051(b) that on a partial loss to a structure the depreciation deduction applies only to components normally subject to repair and replacement during the useful life of that structure. Whether labor, overhead or non-material components are depreciated varies by carrier and by state and is genuinely contested — record what this file did and do not present the practice as a rule.</w:t>
      </w:r>
    </w:p>
    <w:p>
      <w:pPr>
        <w:spacing w:after="120"/>
      </w:pPr>
      <w:r>
        <w:rPr>
          <w:highlight w:val="yellow"/>
          <w:highlightCs w:val="yellow"/>
        </w:rPr>
        <w:t xml:space="preserve">[Method: straight-line age/life, with or without condition adjustment; categories excluded from depreciation and why; treatment of labor, overhead and profit, and sales tax on this file; any state-specific restriction applied and its citation.]</w:t>
      </w:r>
    </w:p>
    <w:p/>
    <w:p>
      <w:pPr>
        <w:pStyle w:val="Heading2"/>
      </w:pPr>
      <w:r>
        <w:t xml:space="preserve">Line-item schedule</w:t>
      </w:r>
    </w:p>
    <w:p>
      <w:pPr>
        <w:spacing w:after="120"/>
      </w:pPr>
      <w:r>
        <w:rPr>
          <w:i/>
          <w:iCs/>
          <w:sz w:val="18"/>
          <w:szCs w:val="18"/>
        </w:rPr>
        <w:t xml:space="preserve">One row per estimate line, in estimate order, so the two documents reconcile without cross-referencing. The columns that make the sheet defensible are age, expected life and source of age — a percentage with no age behind it is an assertion. Where a line carries no depreciation, still give it a row and a reason, because a blank row reads as an omission and a reason reads as a decision.</w:t>
      </w:r>
    </w:p>
    <w:p>
      <w:pPr>
        <w:spacing w:after="120"/>
      </w:pPr>
      <w:r>
        <w:rPr>
          <w:highlight w:val="yellow"/>
          <w:highlightCs w:val="yellow"/>
        </w:rPr>
        <w:t xml:space="preserve">[Line no. | Description | RCV | Age (years) | Expected life (years) | Condition adjustment | Depreciation % | Depreciation $ | ACV | Source of age.]</w:t>
      </w:r>
    </w:p>
    <w:p>
      <w:pPr>
        <w:pStyle w:val="ListParagraph"/>
        <w:numPr>
          <w:ilvl w:val="0"/>
          <w:numId w:val="1"/>
        </w:numPr>
        <w:spacing w:after="80"/>
      </w:pPr>
      <w:r>
        <w:t xml:space="preserve">Estimate line number, matching the estimate exactly</w:t>
      </w:r>
    </w:p>
    <w:p>
      <w:pPr>
        <w:pStyle w:val="ListParagraph"/>
        <w:numPr>
          <w:ilvl w:val="0"/>
          <w:numId w:val="1"/>
        </w:numPr>
        <w:spacing w:after="80"/>
      </w:pPr>
      <w:r>
        <w:t xml:space="preserve">Age, and where the age came from — permit, invoice, insured's statement, observation</w:t>
      </w:r>
    </w:p>
    <w:p>
      <w:pPr>
        <w:pStyle w:val="ListParagraph"/>
        <w:numPr>
          <w:ilvl w:val="0"/>
          <w:numId w:val="1"/>
        </w:numPr>
        <w:spacing w:after="80"/>
      </w:pPr>
      <w:r>
        <w:t xml:space="preserve">Expected life and the schedule it comes from</w:t>
      </w:r>
    </w:p>
    <w:p>
      <w:pPr>
        <w:pStyle w:val="ListParagraph"/>
        <w:numPr>
          <w:ilvl w:val="0"/>
          <w:numId w:val="1"/>
        </w:numPr>
        <w:spacing w:after="80"/>
      </w:pPr>
      <w:r>
        <w:t xml:space="preserve">Reason for any line depreciated at 0%</w:t>
      </w:r>
    </w:p>
    <w:p/>
    <w:p>
      <w:pPr>
        <w:pStyle w:val="Heading2"/>
      </w:pPr>
      <w:r>
        <w:t xml:space="preserve">Summary and reconciliation</w:t>
      </w:r>
    </w:p>
    <w:p>
      <w:pPr>
        <w:spacing w:after="120"/>
      </w:pPr>
      <w:r>
        <w:rPr>
          <w:i/>
          <w:iCs/>
          <w:sz w:val="18"/>
          <w:szCs w:val="18"/>
        </w:rPr>
        <w:t xml:space="preserve">Totals RCV, total depreciation, total ACV, then the deductible and the net figure being paid. The reconciliation matters more than it looks: the ACV total here must equal the ACV figure on the estimate, on the reserve memo and on the payment, and a mismatch between any two of those is the single most common thing an insured's representative finds first.</w:t>
      </w:r>
    </w:p>
    <w:p>
      <w:pPr>
        <w:spacing w:after="120"/>
      </w:pPr>
      <w:r>
        <w:t xml:space="preserve">Total RCV: </w:t>
      </w:r>
      <w:r>
        <w:rPr>
          <w:highlight w:val="yellow"/>
          <w:highlightCs w:val="yellow"/>
        </w:rPr>
        <w:t xml:space="preserve">[ ______________________ ]</w:t>
      </w:r>
    </w:p>
    <w:p>
      <w:pPr>
        <w:spacing w:after="120"/>
      </w:pPr>
      <w:r>
        <w:t xml:space="preserve">Total depreciation: </w:t>
      </w:r>
      <w:r>
        <w:rPr>
          <w:highlight w:val="yellow"/>
          <w:highlightCs w:val="yellow"/>
        </w:rPr>
        <w:t xml:space="preserve">[ ______________________ ]</w:t>
      </w:r>
    </w:p>
    <w:p>
      <w:pPr>
        <w:spacing w:after="120"/>
      </w:pPr>
      <w:r>
        <w:t xml:space="preserve">Total ACV: </w:t>
      </w:r>
      <w:r>
        <w:rPr>
          <w:highlight w:val="yellow"/>
          <w:highlightCs w:val="yellow"/>
        </w:rPr>
        <w:t xml:space="preserve">[ ______________________ ]</w:t>
      </w:r>
    </w:p>
    <w:p>
      <w:pPr>
        <w:spacing w:after="120"/>
      </w:pPr>
      <w:r>
        <w:t xml:space="preserve">Deductible: </w:t>
      </w:r>
      <w:r>
        <w:rPr>
          <w:highlight w:val="yellow"/>
          <w:highlightCs w:val="yellow"/>
        </w:rPr>
        <w:t xml:space="preserve">[ ______________________ ]</w:t>
      </w:r>
    </w:p>
    <w:p>
      <w:pPr>
        <w:spacing w:after="120"/>
      </w:pPr>
      <w:r>
        <w:t xml:space="preserve">Net payable: </w:t>
      </w:r>
      <w:r>
        <w:rPr>
          <w:highlight w:val="yellow"/>
          <w:highlightCs w:val="yellow"/>
        </w:rPr>
        <w:t xml:space="preserve">[ ______________________ ]</w:t>
      </w:r>
    </w:p>
    <w:p>
      <w:pPr>
        <w:spacing w:after="120"/>
      </w:pPr>
      <w:r>
        <w:rPr>
          <w:highlight w:val="yellow"/>
          <w:highlightCs w:val="yellow"/>
        </w:rPr>
        <w:t xml:space="preserve">[Total RCV; total depreciation; total ACV; deductible and its application; net amount payable on this basis; payment reference and date.]</w:t>
      </w:r>
    </w:p>
    <w:p/>
    <w:p>
      <w:pPr>
        <w:pStyle w:val="Heading2"/>
      </w:pPr>
      <w:r>
        <w:t xml:space="preserve">Recoverable depreciation and what releases it</w:t>
      </w:r>
    </w:p>
    <w:p>
      <w:pPr>
        <w:spacing w:after="120"/>
      </w:pPr>
      <w:r>
        <w:rPr>
          <w:i/>
          <w:iCs/>
          <w:sz w:val="18"/>
          <w:szCs w:val="18"/>
        </w:rPr>
        <w:t xml:space="preserve">If the policy provides replacement cost and the withheld depreciation is recoverable, state the amount, what documentation releases it, and any time limit the policy sets for completing the work. Insureds most often lose recoverable depreciation by not knowing it exists, and the second most common way is by missing a period stated in a policy provision nobody drew to their attention.</w:t>
      </w:r>
    </w:p>
    <w:p>
      <w:pPr>
        <w:spacing w:after="120"/>
      </w:pPr>
      <w:r>
        <w:rPr>
          <w:highlight w:val="yellow"/>
          <w:highlightCs w:val="yellow"/>
        </w:rPr>
        <w:t xml:space="preserve">[Amount held as recoverable depreciation; documentation required to release it; policy provision and any period stated in it; date the insured was informed and how.]</w:t>
      </w:r>
    </w:p>
    <w:p/>
    <w:p>
      <w:pPr>
        <w:pStyle w:val="Heading2"/>
      </w:pPr>
      <w:r>
        <w:t xml:space="preserve">Assumptions, disputed inputs and open items</w:t>
      </w:r>
    </w:p>
    <w:p>
      <w:pPr>
        <w:spacing w:after="120"/>
      </w:pPr>
      <w:r>
        <w:rPr>
          <w:i/>
          <w:iCs/>
          <w:sz w:val="18"/>
          <w:szCs w:val="18"/>
        </w:rPr>
        <w:t xml:space="preserve">Every input you could not document goes here with its source named. An age taken from the insured's recollection is a legitimate input; presenting it as though it were taken from a permit is not. If a figure is already in dispute, record the competing input and where it came from, so the file shows the disagreement rather than only your side of it.</w:t>
      </w:r>
    </w:p>
    <w:p>
      <w:pPr>
        <w:spacing w:after="120"/>
      </w:pPr>
      <w:r>
        <w:rPr>
          <w:highlight w:val="yellow"/>
          <w:highlightCs w:val="yellow"/>
        </w:rPr>
        <w:t xml:space="preserve">[Each undocumented or assumed input; its source; what would confirm it; any competing figure advanced by the insured or their representative and its stated basis.]</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Harbour Lane water loss, claim PC-2026-11482, building estimate only. Nineteen lines, of which three carry depreciation and one is depreciated at zero for a reason that ties back to the subrogation file. The age input behind the largest depreciation figure is undocumented, and the worksheet records that rather than hiding it.</w:t>
      </w:r>
    </w:p>
    <w:p/>
    <w:p>
      <w:pPr>
        <w:pStyle w:val="Heading2"/>
      </w:pPr>
      <w:r>
        <w:t xml:space="preserve">Claim identification and valuation basis</w:t>
      </w:r>
    </w:p>
    <w:p>
      <w:pPr>
        <w:spacing w:after="120"/>
      </w:pPr>
      <w:r>
        <w:t xml:space="preserve">Claim PC-2026-11482. Insured D. Okonjo, 118 Harbour Lane. Date of loss reported 14 July 2026. Policy HO-4471903, term 1 March 2026 to 1 March 2027. Estimate prepared by R. Calloway 20 July 2026 following inspection on 18 July.</w:t>
      </w:r>
    </w:p>
    <w:p/>
    <w:p>
      <w:pPr>
        <w:spacing w:after="120"/>
      </w:pPr>
      <w:r>
        <w:t xml:space="preserve">Basis applied: replacement cost less physical depreciation, per the policy's loss settlement wording, with the first payment issued on an actual cash value basis and the difference held as recoverable depreciation under the replacement cost provision.</w:t>
      </w:r>
    </w:p>
    <w:p/>
    <w:p>
      <w:pPr>
        <w:spacing w:after="120"/>
      </w:pPr>
      <w:r>
        <w:t xml:space="preserve">This worksheet is worked as replacement cost less depreciation because that is what the policy provides and it is the formulation Model 902 §9(B)(1) uses. The model binds nothing on its own; where a state has adopted a definition, that definition governs and this header should carry its citation instead. Where a state applies the broad evidence rule, a straight age-over-life computation is a starting point rather than the answer, and the file should reflect that. The risk state's rule was checked before this sheet was worked; the citation is filed with the coverage summary.</w:t>
      </w:r>
    </w:p>
    <w:p/>
    <w:p>
      <w:pPr>
        <w:pStyle w:val="Heading2"/>
      </w:pPr>
      <w:r>
        <w:t xml:space="preserve">Depreciation method and its limits</w:t>
      </w:r>
    </w:p>
    <w:p>
      <w:pPr>
        <w:spacing w:after="120"/>
      </w:pPr>
      <w:r>
        <w:t xml:space="preserve">Method: straight-line, age over expected life, with condition adjustment applied on one line only and shown separately where used.</w:t>
      </w:r>
    </w:p>
    <w:p/>
    <w:p>
      <w:pPr>
        <w:spacing w:after="120"/>
      </w:pPr>
      <w:r>
        <w:t xml:space="preserve">Excluded from depreciation on this file:</w:t>
      </w:r>
    </w:p>
    <w:p>
      <w:pPr>
        <w:spacing w:after="120"/>
      </w:pPr>
      <w:r>
        <w:t xml:space="preserve">- Mitigation and drying services, antimicrobial application, content manipulation, cleaning, debris removal, containment, general conditions and moisture verification. These are services performed after the loss; there is no pre-loss component to depreciate.</w:t>
      </w:r>
    </w:p>
    <w:p>
      <w:pPr>
        <w:spacing w:after="120"/>
      </w:pPr>
      <w:r>
        <w:t xml:space="preserve">- Demolition and removal labor.</w:t>
      </w:r>
    </w:p>
    <w:p>
      <w:pPr>
        <w:spacing w:after="120"/>
      </w:pPr>
      <w:r>
        <w:t xml:space="preserve">- Drywall, tape and texture. Treated here as structural finish not normally subject to repair and replacement during the life of the structure.</w:t>
      </w:r>
    </w:p>
    <w:p>
      <w:pPr>
        <w:spacing w:after="120"/>
      </w:pPr>
      <w:r>
        <w:t xml:space="preserve">- Overhead and profit, and sales tax. Carried on this estimate and not depreciated. Treatment of both varies by carrier and by state and is genuinely contested. This records what the file did; do not read it as a rule.</w:t>
      </w:r>
    </w:p>
    <w:p/>
    <w:p>
      <w:pPr>
        <w:spacing w:after="120"/>
      </w:pPr>
      <w:r>
        <w:t xml:space="preserve">One restriction worth naming because it is jurisdictional rather than customary: California provides at Ins. Code §2051(b) that on a partial loss to a structure the depreciation deduction applies only to components normally subject to repair and replacement during the useful life of that structure. That is a statutory restriction in that state and not a general principle. Other states define actual cash value differently or leave it to case law, and several apply the broad evidence rule instead. If the risk here sat in California, the drywall treatment on line 6 is the one that would need to be worked against that restriction rather than against the file's usual practice, and the reasoning would go on the sheet.</w:t>
      </w:r>
    </w:p>
    <w:p/>
    <w:p>
      <w:pPr>
        <w:pStyle w:val="Heading2"/>
      </w:pPr>
      <w:r>
        <w:t xml:space="preserve">Line-item schedule</w:t>
      </w:r>
    </w:p>
    <w:p>
      <w:pPr>
        <w:spacing w:after="120"/>
      </w:pPr>
      <w:r>
        <w:t xml:space="preserve">Line | Description | RCV | Age | Life | Dep % | Dep $ | ACV</w:t>
      </w:r>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tblGrid>
      <w:tr>
        <w:trPr>
          <w:tblHeader w:val="false"/>
        </w:trPr>
        <w:tc>
          <w:tcPr>
            <w:tcMar>
              <w:top w:type="dxa" w:w="60"/>
              <w:left w:type="dxa" w:w="100"/>
              <w:bottom w:type="dxa" w:w="60"/>
              <w:right w:type="dxa" w:w="100"/>
            </w:tcMar>
          </w:tcPr>
          <w:p>
            <w:pPr>
              <w:spacing w:after="0"/>
            </w:pPr>
            <w:r>
              <w:rPr>
                <w:sz w:val="19"/>
                <w:szCs w:val="19"/>
              </w:rPr>
              <w:t xml:space="preserve">1</w:t>
            </w:r>
          </w:p>
        </w:tc>
        <w:tc>
          <w:tcPr>
            <w:tcMar>
              <w:top w:type="dxa" w:w="60"/>
              <w:left w:type="dxa" w:w="100"/>
              <w:bottom w:type="dxa" w:w="60"/>
              <w:right w:type="dxa" w:w="100"/>
            </w:tcMar>
          </w:tcPr>
          <w:p>
            <w:pPr>
              <w:spacing w:after="0"/>
            </w:pPr>
            <w:r>
              <w:rPr>
                <w:sz w:val="19"/>
                <w:szCs w:val="19"/>
              </w:rPr>
              <w:t xml:space="preserve">Emergency mitigation and drying, 6 air movers and 2 LGR dehumidifiers, 4 days with daily monitoring</w:t>
            </w:r>
          </w:p>
        </w:tc>
        <w:tc>
          <w:tcPr>
            <w:tcMar>
              <w:top w:type="dxa" w:w="60"/>
              <w:left w:type="dxa" w:w="100"/>
              <w:bottom w:type="dxa" w:w="60"/>
              <w:right w:type="dxa" w:w="100"/>
            </w:tcMar>
          </w:tcPr>
          <w:p>
            <w:pPr>
              <w:spacing w:after="0"/>
            </w:pPr>
            <w:r>
              <w:rPr>
                <w:sz w:val="19"/>
                <w:szCs w:val="19"/>
              </w:rPr>
              <w:t xml:space="preserve">3,940.00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3,940.00</w:t>
            </w:r>
          </w:p>
        </w:tc>
      </w:tr>
      <w:tr>
        <w:trPr>
          <w:tblHeader w:val="false"/>
        </w:trPr>
        <w:tc>
          <w:tcPr>
            <w:tcMar>
              <w:top w:type="dxa" w:w="60"/>
              <w:left w:type="dxa" w:w="100"/>
              <w:bottom w:type="dxa" w:w="60"/>
              <w:right w:type="dxa" w:w="100"/>
            </w:tcMar>
          </w:tcPr>
          <w:p>
            <w:pPr>
              <w:spacing w:after="0"/>
            </w:pPr>
            <w:r>
              <w:rPr>
                <w:sz w:val="19"/>
                <w:szCs w:val="19"/>
              </w:rPr>
              <w:t xml:space="preserve">2</w:t>
            </w:r>
          </w:p>
        </w:tc>
        <w:tc>
          <w:tcPr>
            <w:tcMar>
              <w:top w:type="dxa" w:w="60"/>
              <w:left w:type="dxa" w:w="100"/>
              <w:bottom w:type="dxa" w:w="60"/>
              <w:right w:type="dxa" w:w="100"/>
            </w:tcMar>
          </w:tcPr>
          <w:p>
            <w:pPr>
              <w:spacing w:after="0"/>
            </w:pPr>
            <w:r>
              <w:rPr>
                <w:sz w:val="19"/>
                <w:szCs w:val="19"/>
              </w:rPr>
              <w:t xml:space="preserve">Antimicrobial application, 310 SF</w:t>
            </w:r>
          </w:p>
        </w:tc>
        <w:tc>
          <w:tcPr>
            <w:tcMar>
              <w:top w:type="dxa" w:w="60"/>
              <w:left w:type="dxa" w:w="100"/>
              <w:bottom w:type="dxa" w:w="60"/>
              <w:right w:type="dxa" w:w="100"/>
            </w:tcMar>
          </w:tcPr>
          <w:p>
            <w:pPr>
              <w:spacing w:after="0"/>
            </w:pPr>
            <w:r>
              <w:rPr>
                <w:sz w:val="19"/>
                <w:szCs w:val="19"/>
              </w:rPr>
              <w:t xml:space="preserve">285.00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285.00</w:t>
            </w:r>
          </w:p>
        </w:tc>
      </w:tr>
      <w:tr>
        <w:trPr>
          <w:tblHeader w:val="false"/>
        </w:trPr>
        <w:tc>
          <w:tcPr>
            <w:tcMar>
              <w:top w:type="dxa" w:w="60"/>
              <w:left w:type="dxa" w:w="100"/>
              <w:bottom w:type="dxa" w:w="60"/>
              <w:right w:type="dxa" w:w="100"/>
            </w:tcMar>
          </w:tcPr>
          <w:p>
            <w:pPr>
              <w:spacing w:after="0"/>
            </w:pPr>
            <w:r>
              <w:rPr>
                <w:sz w:val="19"/>
                <w:szCs w:val="19"/>
              </w:rPr>
              <w:t xml:space="preserve">3</w:t>
            </w:r>
          </w:p>
        </w:tc>
        <w:tc>
          <w:tcPr>
            <w:tcMar>
              <w:top w:type="dxa" w:w="60"/>
              <w:left w:type="dxa" w:w="100"/>
              <w:bottom w:type="dxa" w:w="60"/>
              <w:right w:type="dxa" w:w="100"/>
            </w:tcMar>
          </w:tcPr>
          <w:p>
            <w:pPr>
              <w:spacing w:after="0"/>
            </w:pPr>
            <w:r>
              <w:rPr>
                <w:sz w:val="19"/>
                <w:szCs w:val="19"/>
              </w:rPr>
              <w:t xml:space="preserve">Content manipulation; detach and reset stored goods, hallway closet</w:t>
            </w:r>
          </w:p>
        </w:tc>
        <w:tc>
          <w:tcPr>
            <w:tcMar>
              <w:top w:type="dxa" w:w="60"/>
              <w:left w:type="dxa" w:w="100"/>
              <w:bottom w:type="dxa" w:w="60"/>
              <w:right w:type="dxa" w:w="100"/>
            </w:tcMar>
          </w:tcPr>
          <w:p>
            <w:pPr>
              <w:spacing w:after="0"/>
            </w:pPr>
            <w:r>
              <w:rPr>
                <w:sz w:val="19"/>
                <w:szCs w:val="19"/>
              </w:rPr>
              <w:t xml:space="preserve">640.00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640.00</w:t>
            </w:r>
          </w:p>
        </w:tc>
      </w:tr>
      <w:tr>
        <w:trPr>
          <w:tblHeader w:val="false"/>
        </w:trPr>
        <w:tc>
          <w:tcPr>
            <w:tcMar>
              <w:top w:type="dxa" w:w="60"/>
              <w:left w:type="dxa" w:w="100"/>
              <w:bottom w:type="dxa" w:w="60"/>
              <w:right w:type="dxa" w:w="100"/>
            </w:tcMar>
          </w:tcPr>
          <w:p>
            <w:pPr>
              <w:spacing w:after="0"/>
            </w:pPr>
            <w:r>
              <w:rPr>
                <w:sz w:val="19"/>
                <w:szCs w:val="19"/>
              </w:rPr>
              <w:t xml:space="preserve">4</w:t>
            </w:r>
          </w:p>
        </w:tc>
        <w:tc>
          <w:tcPr>
            <w:tcMar>
              <w:top w:type="dxa" w:w="60"/>
              <w:left w:type="dxa" w:w="100"/>
              <w:bottom w:type="dxa" w:w="60"/>
              <w:right w:type="dxa" w:w="100"/>
            </w:tcMar>
          </w:tcPr>
          <w:p>
            <w:pPr>
              <w:spacing w:after="0"/>
            </w:pPr>
            <w:r>
              <w:rPr>
                <w:sz w:val="19"/>
                <w:szCs w:val="19"/>
              </w:rPr>
              <w:t xml:space="preserve">Remove drywall to 24 inches, 31 LF, and haul</w:t>
            </w:r>
          </w:p>
        </w:tc>
        <w:tc>
          <w:tcPr>
            <w:tcMar>
              <w:top w:type="dxa" w:w="60"/>
              <w:left w:type="dxa" w:w="100"/>
              <w:bottom w:type="dxa" w:w="60"/>
              <w:right w:type="dxa" w:w="100"/>
            </w:tcMar>
          </w:tcPr>
          <w:p>
            <w:pPr>
              <w:spacing w:after="0"/>
            </w:pPr>
            <w:r>
              <w:rPr>
                <w:sz w:val="19"/>
                <w:szCs w:val="19"/>
              </w:rPr>
              <w:t xml:space="preserve">1,640.00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1,640.00</w:t>
            </w:r>
          </w:p>
        </w:tc>
      </w:tr>
      <w:tr>
        <w:trPr>
          <w:tblHeader w:val="false"/>
        </w:trPr>
        <w:tc>
          <w:tcPr>
            <w:tcMar>
              <w:top w:type="dxa" w:w="60"/>
              <w:left w:type="dxa" w:w="100"/>
              <w:bottom w:type="dxa" w:w="60"/>
              <w:right w:type="dxa" w:w="100"/>
            </w:tcMar>
          </w:tcPr>
          <w:p>
            <w:pPr>
              <w:spacing w:after="0"/>
            </w:pPr>
            <w:r>
              <w:rPr>
                <w:sz w:val="19"/>
                <w:szCs w:val="19"/>
              </w:rPr>
              <w:t xml:space="preserve">5</w:t>
            </w:r>
          </w:p>
        </w:tc>
        <w:tc>
          <w:tcPr>
            <w:tcMar>
              <w:top w:type="dxa" w:w="60"/>
              <w:left w:type="dxa" w:w="100"/>
              <w:bottom w:type="dxa" w:w="60"/>
              <w:right w:type="dxa" w:w="100"/>
            </w:tcMar>
          </w:tcPr>
          <w:p>
            <w:pPr>
              <w:spacing w:after="0"/>
            </w:pPr>
            <w:r>
              <w:rPr>
                <w:sz w:val="19"/>
                <w:szCs w:val="19"/>
              </w:rPr>
              <w:t xml:space="preserve">Remove and replace wet batt insulation, 26 LF</w:t>
            </w:r>
          </w:p>
        </w:tc>
        <w:tc>
          <w:tcPr>
            <w:tcMar>
              <w:top w:type="dxa" w:w="60"/>
              <w:left w:type="dxa" w:w="100"/>
              <w:bottom w:type="dxa" w:w="60"/>
              <w:right w:type="dxa" w:w="100"/>
            </w:tcMar>
          </w:tcPr>
          <w:p>
            <w:pPr>
              <w:spacing w:after="0"/>
            </w:pPr>
            <w:r>
              <w:rPr>
                <w:sz w:val="19"/>
                <w:szCs w:val="19"/>
              </w:rPr>
              <w:t xml:space="preserve">780.00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780.00</w:t>
            </w:r>
          </w:p>
        </w:tc>
      </w:tr>
      <w:tr>
        <w:trPr>
          <w:tblHeader w:val="false"/>
        </w:trPr>
        <w:tc>
          <w:tcPr>
            <w:tcMar>
              <w:top w:type="dxa" w:w="60"/>
              <w:left w:type="dxa" w:w="100"/>
              <w:bottom w:type="dxa" w:w="60"/>
              <w:right w:type="dxa" w:w="100"/>
            </w:tcMar>
          </w:tcPr>
          <w:p>
            <w:pPr>
              <w:spacing w:after="0"/>
            </w:pPr>
            <w:r>
              <w:rPr>
                <w:sz w:val="19"/>
                <w:szCs w:val="19"/>
              </w:rPr>
              <w:t xml:space="preserve">6</w:t>
            </w:r>
          </w:p>
        </w:tc>
        <w:tc>
          <w:tcPr>
            <w:tcMar>
              <w:top w:type="dxa" w:w="60"/>
              <w:left w:type="dxa" w:w="100"/>
              <w:bottom w:type="dxa" w:w="60"/>
              <w:right w:type="dxa" w:w="100"/>
            </w:tcMar>
          </w:tcPr>
          <w:p>
            <w:pPr>
              <w:spacing w:after="0"/>
            </w:pPr>
            <w:r>
              <w:rPr>
                <w:sz w:val="19"/>
                <w:szCs w:val="19"/>
              </w:rPr>
              <w:t xml:space="preserve">Hang, tape, float and texture 1/2 inch drywall, 62 SF plus closet returns</w:t>
            </w:r>
          </w:p>
        </w:tc>
        <w:tc>
          <w:tcPr>
            <w:tcMar>
              <w:top w:type="dxa" w:w="60"/>
              <w:left w:type="dxa" w:w="100"/>
              <w:bottom w:type="dxa" w:w="60"/>
              <w:right w:type="dxa" w:w="100"/>
            </w:tcMar>
          </w:tcPr>
          <w:p>
            <w:pPr>
              <w:spacing w:after="0"/>
            </w:pPr>
            <w:r>
              <w:rPr>
                <w:sz w:val="19"/>
                <w:szCs w:val="19"/>
              </w:rPr>
              <w:t xml:space="preserve">2,610.00</w:t>
            </w:r>
          </w:p>
        </w:tc>
        <w:tc>
          <w:tcPr>
            <w:tcMar>
              <w:top w:type="dxa" w:w="60"/>
              <w:left w:type="dxa" w:w="100"/>
              <w:bottom w:type="dxa" w:w="60"/>
              <w:right w:type="dxa" w:w="100"/>
            </w:tcMar>
          </w:tcPr>
          <w:p>
            <w:pPr>
              <w:spacing w:after="0"/>
            </w:pPr>
            <w:r>
              <w:rPr>
                <w:sz w:val="19"/>
                <w:szCs w:val="19"/>
              </w:rPr>
              <w:t xml:space="preserve">21</w:t>
            </w:r>
          </w:p>
        </w:tc>
        <w:tc>
          <w:tcPr>
            <w:tcMar>
              <w:top w:type="dxa" w:w="60"/>
              <w:left w:type="dxa" w:w="100"/>
              <w:bottom w:type="dxa" w:w="60"/>
              <w:right w:type="dxa" w:w="100"/>
            </w:tcMar>
          </w:tcPr>
          <w:p>
            <w:pPr>
              <w:spacing w:after="0"/>
            </w:pPr>
            <w:r>
              <w:rPr>
                <w:sz w:val="19"/>
                <w:szCs w:val="19"/>
              </w:rPr>
              <w:t xml:space="preserve">60</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2,610.00</w:t>
            </w:r>
          </w:p>
        </w:tc>
      </w:tr>
      <w:tr>
        <w:trPr>
          <w:tblHeader w:val="false"/>
        </w:trPr>
        <w:tc>
          <w:tcPr>
            <w:tcMar>
              <w:top w:type="dxa" w:w="60"/>
              <w:left w:type="dxa" w:w="100"/>
              <w:bottom w:type="dxa" w:w="60"/>
              <w:right w:type="dxa" w:w="100"/>
            </w:tcMar>
          </w:tcPr>
          <w:p>
            <w:pPr>
              <w:spacing w:after="0"/>
            </w:pPr>
            <w:r>
              <w:rPr>
                <w:sz w:val="19"/>
                <w:szCs w:val="19"/>
              </w:rPr>
              <w:t xml:space="preserve">7</w:t>
            </w:r>
          </w:p>
        </w:tc>
        <w:tc>
          <w:tcPr>
            <w:tcMar>
              <w:top w:type="dxa" w:w="60"/>
              <w:left w:type="dxa" w:w="100"/>
              <w:bottom w:type="dxa" w:w="60"/>
              <w:right w:type="dxa" w:w="100"/>
            </w:tcMar>
          </w:tcPr>
          <w:p>
            <w:pPr>
              <w:spacing w:after="0"/>
            </w:pPr>
            <w:r>
              <w:rPr>
                <w:sz w:val="19"/>
                <w:szCs w:val="19"/>
              </w:rPr>
              <w:t xml:space="preserve">Seal and paint patched area, two coats, 310 SF</w:t>
            </w:r>
          </w:p>
        </w:tc>
        <w:tc>
          <w:tcPr>
            <w:tcMar>
              <w:top w:type="dxa" w:w="60"/>
              <w:left w:type="dxa" w:w="100"/>
              <w:bottom w:type="dxa" w:w="60"/>
              <w:right w:type="dxa" w:w="100"/>
            </w:tcMar>
          </w:tcPr>
          <w:p>
            <w:pPr>
              <w:spacing w:after="0"/>
            </w:pPr>
            <w:r>
              <w:rPr>
                <w:sz w:val="19"/>
                <w:szCs w:val="19"/>
              </w:rPr>
              <w:t xml:space="preserve">1,050.00</w:t>
            </w:r>
          </w:p>
        </w:tc>
        <w:tc>
          <w:tcPr>
            <w:tcMar>
              <w:top w:type="dxa" w:w="60"/>
              <w:left w:type="dxa" w:w="100"/>
              <w:bottom w:type="dxa" w:w="60"/>
              <w:right w:type="dxa" w:w="100"/>
            </w:tcMar>
          </w:tcPr>
          <w:p>
            <w:pPr>
              <w:spacing w:after="0"/>
            </w:pPr>
            <w:r>
              <w:rPr>
                <w:sz w:val="19"/>
                <w:szCs w:val="19"/>
              </w:rPr>
              <w:t xml:space="preserve">3</w:t>
            </w:r>
          </w:p>
        </w:tc>
        <w:tc>
          <w:tcPr>
            <w:tcMar>
              <w:top w:type="dxa" w:w="60"/>
              <w:left w:type="dxa" w:w="100"/>
              <w:bottom w:type="dxa" w:w="60"/>
              <w:right w:type="dxa" w:w="100"/>
            </w:tcMar>
          </w:tcPr>
          <w:p>
            <w:pPr>
              <w:spacing w:after="0"/>
            </w:pPr>
            <w:r>
              <w:rPr>
                <w:sz w:val="19"/>
                <w:szCs w:val="19"/>
              </w:rPr>
              <w:t xml:space="preserve">10</w:t>
            </w:r>
          </w:p>
        </w:tc>
        <w:tc>
          <w:tcPr>
            <w:tcMar>
              <w:top w:type="dxa" w:w="60"/>
              <w:left w:type="dxa" w:w="100"/>
              <w:bottom w:type="dxa" w:w="60"/>
              <w:right w:type="dxa" w:w="100"/>
            </w:tcMar>
          </w:tcPr>
          <w:p>
            <w:pPr>
              <w:spacing w:after="0"/>
            </w:pPr>
            <w:r>
              <w:rPr>
                <w:sz w:val="19"/>
                <w:szCs w:val="19"/>
              </w:rPr>
              <w:t xml:space="preserve">30</w:t>
            </w:r>
          </w:p>
        </w:tc>
        <w:tc>
          <w:tcPr>
            <w:tcMar>
              <w:top w:type="dxa" w:w="60"/>
              <w:left w:type="dxa" w:w="100"/>
              <w:bottom w:type="dxa" w:w="60"/>
              <w:right w:type="dxa" w:w="100"/>
            </w:tcMar>
          </w:tcPr>
          <w:p>
            <w:pPr>
              <w:spacing w:after="0"/>
            </w:pPr>
            <w:r>
              <w:rPr>
                <w:sz w:val="19"/>
                <w:szCs w:val="19"/>
              </w:rPr>
              <w:t xml:space="preserve">315.00</w:t>
            </w:r>
          </w:p>
        </w:tc>
        <w:tc>
          <w:tcPr>
            <w:tcMar>
              <w:top w:type="dxa" w:w="60"/>
              <w:left w:type="dxa" w:w="100"/>
              <w:bottom w:type="dxa" w:w="60"/>
              <w:right w:type="dxa" w:w="100"/>
            </w:tcMar>
          </w:tcPr>
          <w:p>
            <w:pPr>
              <w:spacing w:after="0"/>
            </w:pPr>
            <w:r>
              <w:rPr>
                <w:sz w:val="19"/>
                <w:szCs w:val="19"/>
              </w:rPr>
              <w:t xml:space="preserve">735.00</w:t>
            </w:r>
          </w:p>
        </w:tc>
      </w:tr>
      <w:tr>
        <w:trPr>
          <w:tblHeader w:val="false"/>
        </w:trPr>
        <w:tc>
          <w:tcPr>
            <w:tcMar>
              <w:top w:type="dxa" w:w="60"/>
              <w:left w:type="dxa" w:w="100"/>
              <w:bottom w:type="dxa" w:w="60"/>
              <w:right w:type="dxa" w:w="100"/>
            </w:tcMar>
          </w:tcPr>
          <w:p>
            <w:pPr>
              <w:spacing w:after="0"/>
            </w:pPr>
            <w:r>
              <w:rPr>
                <w:sz w:val="19"/>
                <w:szCs w:val="19"/>
              </w:rPr>
              <w:t xml:space="preserve">8</w:t>
            </w:r>
          </w:p>
        </w:tc>
        <w:tc>
          <w:tcPr>
            <w:tcMar>
              <w:top w:type="dxa" w:w="60"/>
              <w:left w:type="dxa" w:w="100"/>
              <w:bottom w:type="dxa" w:w="60"/>
              <w:right w:type="dxa" w:w="100"/>
            </w:tcMar>
          </w:tcPr>
          <w:p>
            <w:pPr>
              <w:spacing w:after="0"/>
            </w:pPr>
            <w:r>
              <w:rPr>
                <w:sz w:val="19"/>
                <w:szCs w:val="19"/>
              </w:rPr>
              <w:t xml:space="preserve">Base trim, replace, 31 LF, primed and painted</w:t>
            </w:r>
          </w:p>
        </w:tc>
        <w:tc>
          <w:tcPr>
            <w:tcMar>
              <w:top w:type="dxa" w:w="60"/>
              <w:left w:type="dxa" w:w="100"/>
              <w:bottom w:type="dxa" w:w="60"/>
              <w:right w:type="dxa" w:w="100"/>
            </w:tcMar>
          </w:tcPr>
          <w:p>
            <w:pPr>
              <w:spacing w:after="0"/>
            </w:pPr>
            <w:r>
              <w:rPr>
                <w:sz w:val="19"/>
                <w:szCs w:val="19"/>
              </w:rPr>
              <w:t xml:space="preserve">930.00</w:t>
            </w:r>
          </w:p>
        </w:tc>
        <w:tc>
          <w:tcPr>
            <w:tcMar>
              <w:top w:type="dxa" w:w="60"/>
              <w:left w:type="dxa" w:w="100"/>
              <w:bottom w:type="dxa" w:w="60"/>
              <w:right w:type="dxa" w:w="100"/>
            </w:tcMar>
          </w:tcPr>
          <w:p>
            <w:pPr>
              <w:spacing w:after="0"/>
            </w:pPr>
            <w:r>
              <w:rPr>
                <w:sz w:val="19"/>
                <w:szCs w:val="19"/>
              </w:rPr>
              <w:t xml:space="preserve">3</w:t>
            </w:r>
          </w:p>
        </w:tc>
        <w:tc>
          <w:tcPr>
            <w:tcMar>
              <w:top w:type="dxa" w:w="60"/>
              <w:left w:type="dxa" w:w="100"/>
              <w:bottom w:type="dxa" w:w="60"/>
              <w:right w:type="dxa" w:w="100"/>
            </w:tcMar>
          </w:tcPr>
          <w:p>
            <w:pPr>
              <w:spacing w:after="0"/>
            </w:pPr>
            <w:r>
              <w:rPr>
                <w:sz w:val="19"/>
                <w:szCs w:val="19"/>
              </w:rPr>
              <w:t xml:space="preserve">40</w:t>
            </w:r>
          </w:p>
        </w:tc>
        <w:tc>
          <w:tcPr>
            <w:tcMar>
              <w:top w:type="dxa" w:w="60"/>
              <w:left w:type="dxa" w:w="100"/>
              <w:bottom w:type="dxa" w:w="60"/>
              <w:right w:type="dxa" w:w="100"/>
            </w:tcMar>
          </w:tcPr>
          <w:p>
            <w:pPr>
              <w:spacing w:after="0"/>
            </w:pPr>
            <w:r>
              <w:rPr>
                <w:sz w:val="19"/>
                <w:szCs w:val="19"/>
              </w:rPr>
              <w:t xml:space="preserve">7.5</w:t>
            </w:r>
          </w:p>
        </w:tc>
        <w:tc>
          <w:tcPr>
            <w:tcMar>
              <w:top w:type="dxa" w:w="60"/>
              <w:left w:type="dxa" w:w="100"/>
              <w:bottom w:type="dxa" w:w="60"/>
              <w:right w:type="dxa" w:w="100"/>
            </w:tcMar>
          </w:tcPr>
          <w:p>
            <w:pPr>
              <w:spacing w:after="0"/>
            </w:pPr>
            <w:r>
              <w:rPr>
                <w:sz w:val="19"/>
                <w:szCs w:val="19"/>
              </w:rPr>
              <w:t xml:space="preserve">69.75</w:t>
            </w:r>
          </w:p>
        </w:tc>
        <w:tc>
          <w:tcPr>
            <w:tcMar>
              <w:top w:type="dxa" w:w="60"/>
              <w:left w:type="dxa" w:w="100"/>
              <w:bottom w:type="dxa" w:w="60"/>
              <w:right w:type="dxa" w:w="100"/>
            </w:tcMar>
          </w:tcPr>
          <w:p>
            <w:pPr>
              <w:spacing w:after="0"/>
            </w:pPr>
            <w:r>
              <w:rPr>
                <w:sz w:val="19"/>
                <w:szCs w:val="19"/>
              </w:rPr>
              <w:t xml:space="preserve">860.25</w:t>
            </w:r>
          </w:p>
        </w:tc>
      </w:tr>
      <w:tr>
        <w:trPr>
          <w:tblHeader w:val="false"/>
        </w:trPr>
        <w:tc>
          <w:tcPr>
            <w:tcMar>
              <w:top w:type="dxa" w:w="60"/>
              <w:left w:type="dxa" w:w="100"/>
              <w:bottom w:type="dxa" w:w="60"/>
              <w:right w:type="dxa" w:w="100"/>
            </w:tcMar>
          </w:tcPr>
          <w:p>
            <w:pPr>
              <w:spacing w:after="0"/>
            </w:pPr>
            <w:r>
              <w:rPr>
                <w:sz w:val="19"/>
                <w:szCs w:val="19"/>
              </w:rPr>
              <w:t xml:space="preserve">9</w:t>
            </w:r>
          </w:p>
        </w:tc>
        <w:tc>
          <w:tcPr>
            <w:tcMar>
              <w:top w:type="dxa" w:w="60"/>
              <w:left w:type="dxa" w:w="100"/>
              <w:bottom w:type="dxa" w:w="60"/>
              <w:right w:type="dxa" w:w="100"/>
            </w:tcMar>
          </w:tcPr>
          <w:p>
            <w:pPr>
              <w:spacing w:after="0"/>
            </w:pPr>
            <w:r>
              <w:rPr>
                <w:sz w:val="19"/>
                <w:szCs w:val="19"/>
              </w:rPr>
              <w:t xml:space="preserve">Prefinished shelf unit, hallway closet, replace</w:t>
            </w:r>
          </w:p>
        </w:tc>
        <w:tc>
          <w:tcPr>
            <w:tcMar>
              <w:top w:type="dxa" w:w="60"/>
              <w:left w:type="dxa" w:w="100"/>
              <w:bottom w:type="dxa" w:w="60"/>
              <w:right w:type="dxa" w:w="100"/>
            </w:tcMar>
          </w:tcPr>
          <w:p>
            <w:pPr>
              <w:spacing w:after="0"/>
            </w:pPr>
            <w:r>
              <w:rPr>
                <w:sz w:val="19"/>
                <w:szCs w:val="19"/>
              </w:rPr>
              <w:t xml:space="preserve">135.00</w:t>
            </w:r>
          </w:p>
        </w:tc>
        <w:tc>
          <w:tcPr>
            <w:tcMar>
              <w:top w:type="dxa" w:w="60"/>
              <w:left w:type="dxa" w:w="100"/>
              <w:bottom w:type="dxa" w:w="60"/>
              <w:right w:type="dxa" w:w="100"/>
            </w:tcMar>
          </w:tcPr>
          <w:p>
            <w:pPr>
              <w:spacing w:after="0"/>
            </w:pPr>
            <w:r>
              <w:rPr>
                <w:sz w:val="19"/>
                <w:szCs w:val="19"/>
              </w:rPr>
              <w:t xml:space="preserve">12</w:t>
            </w:r>
          </w:p>
        </w:tc>
        <w:tc>
          <w:tcPr>
            <w:tcMar>
              <w:top w:type="dxa" w:w="60"/>
              <w:left w:type="dxa" w:w="100"/>
              <w:bottom w:type="dxa" w:w="60"/>
              <w:right w:type="dxa" w:w="100"/>
            </w:tcMar>
          </w:tcPr>
          <w:p>
            <w:pPr>
              <w:spacing w:after="0"/>
            </w:pPr>
            <w:r>
              <w:rPr>
                <w:sz w:val="19"/>
                <w:szCs w:val="19"/>
              </w:rPr>
              <w:t xml:space="preserve">25</w:t>
            </w:r>
          </w:p>
        </w:tc>
        <w:tc>
          <w:tcPr>
            <w:tcMar>
              <w:top w:type="dxa" w:w="60"/>
              <w:left w:type="dxa" w:w="100"/>
              <w:bottom w:type="dxa" w:w="60"/>
              <w:right w:type="dxa" w:w="100"/>
            </w:tcMar>
          </w:tcPr>
          <w:p>
            <w:pPr>
              <w:spacing w:after="0"/>
            </w:pPr>
            <w:r>
              <w:rPr>
                <w:sz w:val="19"/>
                <w:szCs w:val="19"/>
              </w:rPr>
              <w:t xml:space="preserve">48</w:t>
            </w:r>
          </w:p>
        </w:tc>
        <w:tc>
          <w:tcPr>
            <w:tcMar>
              <w:top w:type="dxa" w:w="60"/>
              <w:left w:type="dxa" w:w="100"/>
              <w:bottom w:type="dxa" w:w="60"/>
              <w:right w:type="dxa" w:w="100"/>
            </w:tcMar>
          </w:tcPr>
          <w:p>
            <w:pPr>
              <w:spacing w:after="0"/>
            </w:pPr>
            <w:r>
              <w:rPr>
                <w:sz w:val="19"/>
                <w:szCs w:val="19"/>
              </w:rPr>
              <w:t xml:space="preserve">64.80</w:t>
            </w:r>
          </w:p>
        </w:tc>
        <w:tc>
          <w:tcPr>
            <w:tcMar>
              <w:top w:type="dxa" w:w="60"/>
              <w:left w:type="dxa" w:w="100"/>
              <w:bottom w:type="dxa" w:w="60"/>
              <w:right w:type="dxa" w:w="100"/>
            </w:tcMar>
          </w:tcPr>
          <w:p>
            <w:pPr>
              <w:spacing w:after="0"/>
            </w:pPr>
            <w:r>
              <w:rPr>
                <w:sz w:val="19"/>
                <w:szCs w:val="19"/>
              </w:rPr>
              <w:t xml:space="preserve">70.20</w:t>
            </w:r>
          </w:p>
        </w:tc>
      </w:tr>
      <w:tr>
        <w:trPr>
          <w:tblHeader w:val="false"/>
        </w:trPr>
        <w:tc>
          <w:tcPr>
            <w:tcMar>
              <w:top w:type="dxa" w:w="60"/>
              <w:left w:type="dxa" w:w="100"/>
              <w:bottom w:type="dxa" w:w="60"/>
              <w:right w:type="dxa" w:w="100"/>
            </w:tcMar>
          </w:tcPr>
          <w:p>
            <w:pPr>
              <w:spacing w:after="0"/>
            </w:pPr>
            <w:r>
              <w:rPr>
                <w:sz w:val="19"/>
                <w:szCs w:val="19"/>
              </w:rPr>
              <w:t xml:space="preserve">10</w:t>
            </w:r>
          </w:p>
        </w:tc>
        <w:tc>
          <w:tcPr>
            <w:tcMar>
              <w:top w:type="dxa" w:w="60"/>
              <w:left w:type="dxa" w:w="100"/>
              <w:bottom w:type="dxa" w:w="60"/>
              <w:right w:type="dxa" w:w="100"/>
            </w:tcMar>
          </w:tcPr>
          <w:p>
            <w:pPr>
              <w:spacing w:after="0"/>
            </w:pPr>
            <w:r>
              <w:rPr>
                <w:sz w:val="19"/>
                <w:szCs w:val="19"/>
              </w:rPr>
              <w:t xml:space="preserve">Water heater surround panel, 6 SF, replace</w:t>
            </w:r>
          </w:p>
        </w:tc>
        <w:tc>
          <w:tcPr>
            <w:tcMar>
              <w:top w:type="dxa" w:w="60"/>
              <w:left w:type="dxa" w:w="100"/>
              <w:bottom w:type="dxa" w:w="60"/>
              <w:right w:type="dxa" w:w="100"/>
            </w:tcMar>
          </w:tcPr>
          <w:p>
            <w:pPr>
              <w:spacing w:after="0"/>
            </w:pPr>
            <w:r>
              <w:rPr>
                <w:sz w:val="19"/>
                <w:szCs w:val="19"/>
              </w:rPr>
              <w:t xml:space="preserve">260.00</w:t>
            </w:r>
          </w:p>
        </w:tc>
        <w:tc>
          <w:tcPr>
            <w:tcMar>
              <w:top w:type="dxa" w:w="60"/>
              <w:left w:type="dxa" w:w="100"/>
              <w:bottom w:type="dxa" w:w="60"/>
              <w:right w:type="dxa" w:w="100"/>
            </w:tcMar>
          </w:tcPr>
          <w:p>
            <w:pPr>
              <w:spacing w:after="0"/>
            </w:pPr>
            <w:r>
              <w:rPr>
                <w:sz w:val="19"/>
                <w:szCs w:val="19"/>
              </w:rPr>
              <w:t xml:space="preserve">0.9</w:t>
            </w:r>
          </w:p>
        </w:tc>
        <w:tc>
          <w:tcPr>
            <w:tcMar>
              <w:top w:type="dxa" w:w="60"/>
              <w:left w:type="dxa" w:w="100"/>
              <w:bottom w:type="dxa" w:w="60"/>
              <w:right w:type="dxa" w:w="100"/>
            </w:tcMar>
          </w:tcPr>
          <w:p>
            <w:pPr>
              <w:spacing w:after="0"/>
            </w:pPr>
            <w:r>
              <w:rPr>
                <w:sz w:val="19"/>
                <w:szCs w:val="19"/>
              </w:rPr>
              <w:t xml:space="preserve">30</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260.00</w:t>
            </w:r>
          </w:p>
        </w:tc>
      </w:tr>
      <w:tr>
        <w:trPr>
          <w:tblHeader w:val="false"/>
        </w:trPr>
        <w:tc>
          <w:tcPr>
            <w:tcMar>
              <w:top w:type="dxa" w:w="60"/>
              <w:left w:type="dxa" w:w="100"/>
              <w:bottom w:type="dxa" w:w="60"/>
              <w:right w:type="dxa" w:w="100"/>
            </w:tcMar>
          </w:tcPr>
          <w:p>
            <w:pPr>
              <w:spacing w:after="0"/>
            </w:pPr>
            <w:r>
              <w:rPr>
                <w:sz w:val="19"/>
                <w:szCs w:val="19"/>
              </w:rPr>
              <w:t xml:space="preserve">11</w:t>
            </w:r>
          </w:p>
        </w:tc>
        <w:tc>
          <w:tcPr>
            <w:tcMar>
              <w:top w:type="dxa" w:w="60"/>
              <w:left w:type="dxa" w:w="100"/>
              <w:bottom w:type="dxa" w:w="60"/>
              <w:right w:type="dxa" w:w="100"/>
            </w:tcMar>
          </w:tcPr>
          <w:p>
            <w:pPr>
              <w:spacing w:after="0"/>
            </w:pPr>
            <w:r>
              <w:rPr>
                <w:sz w:val="19"/>
                <w:szCs w:val="19"/>
              </w:rPr>
              <w:t xml:space="preserve">Clean, dry and seal slab, 310 SF</w:t>
            </w:r>
          </w:p>
        </w:tc>
        <w:tc>
          <w:tcPr>
            <w:tcMar>
              <w:top w:type="dxa" w:w="60"/>
              <w:left w:type="dxa" w:w="100"/>
              <w:bottom w:type="dxa" w:w="60"/>
              <w:right w:type="dxa" w:w="100"/>
            </w:tcMar>
          </w:tcPr>
          <w:p>
            <w:pPr>
              <w:spacing w:after="0"/>
            </w:pPr>
            <w:r>
              <w:rPr>
                <w:sz w:val="19"/>
                <w:szCs w:val="19"/>
              </w:rPr>
              <w:t xml:space="preserve">890.00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890.00</w:t>
            </w:r>
          </w:p>
        </w:tc>
      </w:tr>
      <w:tr>
        <w:trPr>
          <w:tblHeader w:val="false"/>
        </w:trPr>
        <w:tc>
          <w:tcPr>
            <w:tcMar>
              <w:top w:type="dxa" w:w="60"/>
              <w:left w:type="dxa" w:w="100"/>
              <w:bottom w:type="dxa" w:w="60"/>
              <w:right w:type="dxa" w:w="100"/>
            </w:tcMar>
          </w:tcPr>
          <w:p>
            <w:pPr>
              <w:spacing w:after="0"/>
            </w:pPr>
            <w:r>
              <w:rPr>
                <w:sz w:val="19"/>
                <w:szCs w:val="19"/>
              </w:rPr>
              <w:t xml:space="preserve">12</w:t>
            </w:r>
          </w:p>
        </w:tc>
        <w:tc>
          <w:tcPr>
            <w:tcMar>
              <w:top w:type="dxa" w:w="60"/>
              <w:left w:type="dxa" w:w="100"/>
              <w:bottom w:type="dxa" w:w="60"/>
              <w:right w:type="dxa" w:w="100"/>
            </w:tcMar>
          </w:tcPr>
          <w:p>
            <w:pPr>
              <w:spacing w:after="0"/>
            </w:pPr>
            <w:r>
              <w:rPr>
                <w:sz w:val="19"/>
                <w:szCs w:val="19"/>
              </w:rPr>
              <w:t xml:space="preserve">Detach and reset baseboard electrical, 6 outlets and 2 switches</w:t>
            </w:r>
          </w:p>
        </w:tc>
        <w:tc>
          <w:tcPr>
            <w:tcMar>
              <w:top w:type="dxa" w:w="60"/>
              <w:left w:type="dxa" w:w="100"/>
              <w:bottom w:type="dxa" w:w="60"/>
              <w:right w:type="dxa" w:w="100"/>
            </w:tcMar>
          </w:tcPr>
          <w:p>
            <w:pPr>
              <w:spacing w:after="0"/>
            </w:pPr>
            <w:r>
              <w:rPr>
                <w:sz w:val="19"/>
                <w:szCs w:val="19"/>
              </w:rPr>
              <w:t xml:space="preserve">410.00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410.00</w:t>
            </w:r>
          </w:p>
        </w:tc>
      </w:tr>
      <w:tr>
        <w:trPr>
          <w:tblHeader w:val="false"/>
        </w:trPr>
        <w:tc>
          <w:tcPr>
            <w:tcMar>
              <w:top w:type="dxa" w:w="60"/>
              <w:left w:type="dxa" w:w="100"/>
              <w:bottom w:type="dxa" w:w="60"/>
              <w:right w:type="dxa" w:w="100"/>
            </w:tcMar>
          </w:tcPr>
          <w:p>
            <w:pPr>
              <w:spacing w:after="0"/>
            </w:pPr>
            <w:r>
              <w:rPr>
                <w:sz w:val="19"/>
                <w:szCs w:val="19"/>
              </w:rPr>
              <w:t xml:space="preserve">13</w:t>
            </w:r>
          </w:p>
        </w:tc>
        <w:tc>
          <w:tcPr>
            <w:tcMar>
              <w:top w:type="dxa" w:w="60"/>
              <w:left w:type="dxa" w:w="100"/>
              <w:bottom w:type="dxa" w:w="60"/>
              <w:right w:type="dxa" w:w="100"/>
            </w:tcMar>
          </w:tcPr>
          <w:p>
            <w:pPr>
              <w:spacing w:after="0"/>
            </w:pPr>
            <w:r>
              <w:rPr>
                <w:sz w:val="19"/>
                <w:szCs w:val="19"/>
              </w:rPr>
              <w:t xml:space="preserve">Final cleaning, 310 SF</w:t>
            </w:r>
          </w:p>
        </w:tc>
        <w:tc>
          <w:tcPr>
            <w:tcMar>
              <w:top w:type="dxa" w:w="60"/>
              <w:left w:type="dxa" w:w="100"/>
              <w:bottom w:type="dxa" w:w="60"/>
              <w:right w:type="dxa" w:w="100"/>
            </w:tcMar>
          </w:tcPr>
          <w:p>
            <w:pPr>
              <w:spacing w:after="0"/>
            </w:pPr>
            <w:r>
              <w:rPr>
                <w:sz w:val="19"/>
                <w:szCs w:val="19"/>
              </w:rPr>
              <w:t xml:space="preserve">340.00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340.00</w:t>
            </w:r>
          </w:p>
        </w:tc>
      </w:tr>
      <w:tr>
        <w:trPr>
          <w:tblHeader w:val="false"/>
        </w:trPr>
        <w:tc>
          <w:tcPr>
            <w:tcMar>
              <w:top w:type="dxa" w:w="60"/>
              <w:left w:type="dxa" w:w="100"/>
              <w:bottom w:type="dxa" w:w="60"/>
              <w:right w:type="dxa" w:w="100"/>
            </w:tcMar>
          </w:tcPr>
          <w:p>
            <w:pPr>
              <w:spacing w:after="0"/>
            </w:pPr>
            <w:r>
              <w:rPr>
                <w:sz w:val="19"/>
                <w:szCs w:val="19"/>
              </w:rPr>
              <w:t xml:space="preserve">14</w:t>
            </w:r>
          </w:p>
        </w:tc>
        <w:tc>
          <w:tcPr>
            <w:tcMar>
              <w:top w:type="dxa" w:w="60"/>
              <w:left w:type="dxa" w:w="100"/>
              <w:bottom w:type="dxa" w:w="60"/>
              <w:right w:type="dxa" w:w="100"/>
            </w:tcMar>
          </w:tcPr>
          <w:p>
            <w:pPr>
              <w:spacing w:after="0"/>
            </w:pPr>
            <w:r>
              <w:rPr>
                <w:sz w:val="19"/>
                <w:szCs w:val="19"/>
              </w:rPr>
              <w:t xml:space="preserve">Debris removal and container</w:t>
            </w:r>
          </w:p>
        </w:tc>
        <w:tc>
          <w:tcPr>
            <w:tcMar>
              <w:top w:type="dxa" w:w="60"/>
              <w:left w:type="dxa" w:w="100"/>
              <w:bottom w:type="dxa" w:w="60"/>
              <w:right w:type="dxa" w:w="100"/>
            </w:tcMar>
          </w:tcPr>
          <w:p>
            <w:pPr>
              <w:spacing w:after="0"/>
            </w:pPr>
            <w:r>
              <w:rPr>
                <w:sz w:val="19"/>
                <w:szCs w:val="19"/>
              </w:rPr>
              <w:t xml:space="preserve">480.00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480.00</w:t>
            </w:r>
          </w:p>
        </w:tc>
      </w:tr>
      <w:tr>
        <w:trPr>
          <w:tblHeader w:val="false"/>
        </w:trPr>
        <w:tc>
          <w:tcPr>
            <w:tcMar>
              <w:top w:type="dxa" w:w="60"/>
              <w:left w:type="dxa" w:w="100"/>
              <w:bottom w:type="dxa" w:w="60"/>
              <w:right w:type="dxa" w:w="100"/>
            </w:tcMar>
          </w:tcPr>
          <w:p>
            <w:pPr>
              <w:spacing w:after="0"/>
            </w:pPr>
            <w:r>
              <w:rPr>
                <w:sz w:val="19"/>
                <w:szCs w:val="19"/>
              </w:rPr>
              <w:t xml:space="preserve">15</w:t>
            </w:r>
          </w:p>
        </w:tc>
        <w:tc>
          <w:tcPr>
            <w:tcMar>
              <w:top w:type="dxa" w:w="60"/>
              <w:left w:type="dxa" w:w="100"/>
              <w:bottom w:type="dxa" w:w="60"/>
              <w:right w:type="dxa" w:w="100"/>
            </w:tcMar>
          </w:tcPr>
          <w:p>
            <w:pPr>
              <w:spacing w:after="0"/>
            </w:pPr>
            <w:r>
              <w:rPr>
                <w:sz w:val="19"/>
                <w:szCs w:val="19"/>
              </w:rPr>
              <w:t xml:space="preserve">Moisture verification and post-remediation documentation, 2 visits</w:t>
            </w:r>
          </w:p>
        </w:tc>
        <w:tc>
          <w:tcPr>
            <w:tcMar>
              <w:top w:type="dxa" w:w="60"/>
              <w:left w:type="dxa" w:w="100"/>
              <w:bottom w:type="dxa" w:w="60"/>
              <w:right w:type="dxa" w:w="100"/>
            </w:tcMar>
          </w:tcPr>
          <w:p>
            <w:pPr>
              <w:spacing w:after="0"/>
            </w:pPr>
            <w:r>
              <w:rPr>
                <w:sz w:val="19"/>
                <w:szCs w:val="19"/>
              </w:rPr>
              <w:t xml:space="preserve">420.00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420.00</w:t>
            </w:r>
          </w:p>
        </w:tc>
      </w:tr>
      <w:tr>
        <w:trPr>
          <w:tblHeader w:val="false"/>
        </w:trPr>
        <w:tc>
          <w:tcPr>
            <w:tcMar>
              <w:top w:type="dxa" w:w="60"/>
              <w:left w:type="dxa" w:w="100"/>
              <w:bottom w:type="dxa" w:w="60"/>
              <w:right w:type="dxa" w:w="100"/>
            </w:tcMar>
          </w:tcPr>
          <w:p>
            <w:pPr>
              <w:spacing w:after="0"/>
            </w:pPr>
            <w:r>
              <w:rPr>
                <w:sz w:val="19"/>
                <w:szCs w:val="19"/>
              </w:rPr>
              <w:t xml:space="preserve">16</w:t>
            </w:r>
          </w:p>
        </w:tc>
        <w:tc>
          <w:tcPr>
            <w:tcMar>
              <w:top w:type="dxa" w:w="60"/>
              <w:left w:type="dxa" w:w="100"/>
              <w:bottom w:type="dxa" w:w="60"/>
              <w:right w:type="dxa" w:w="100"/>
            </w:tcMar>
          </w:tcPr>
          <w:p>
            <w:pPr>
              <w:spacing w:after="0"/>
            </w:pPr>
            <w:r>
              <w:rPr>
                <w:sz w:val="19"/>
                <w:szCs w:val="19"/>
              </w:rPr>
              <w:t xml:space="preserve">Temporary containment and floor protection</w:t>
            </w:r>
          </w:p>
        </w:tc>
        <w:tc>
          <w:tcPr>
            <w:tcMar>
              <w:top w:type="dxa" w:w="60"/>
              <w:left w:type="dxa" w:w="100"/>
              <w:bottom w:type="dxa" w:w="60"/>
              <w:right w:type="dxa" w:w="100"/>
            </w:tcMar>
          </w:tcPr>
          <w:p>
            <w:pPr>
              <w:spacing w:after="0"/>
            </w:pPr>
            <w:r>
              <w:rPr>
                <w:sz w:val="19"/>
                <w:szCs w:val="19"/>
              </w:rPr>
              <w:t xml:space="preserve">380.00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380.00</w:t>
            </w:r>
          </w:p>
        </w:tc>
      </w:tr>
      <w:tr>
        <w:trPr>
          <w:tblHeader w:val="false"/>
        </w:trPr>
        <w:tc>
          <w:tcPr>
            <w:tcMar>
              <w:top w:type="dxa" w:w="60"/>
              <w:left w:type="dxa" w:w="100"/>
              <w:bottom w:type="dxa" w:w="60"/>
              <w:right w:type="dxa" w:w="100"/>
            </w:tcMar>
          </w:tcPr>
          <w:p>
            <w:pPr>
              <w:spacing w:after="0"/>
            </w:pPr>
            <w:r>
              <w:rPr>
                <w:sz w:val="19"/>
                <w:szCs w:val="19"/>
              </w:rPr>
              <w:t xml:space="preserve">17</w:t>
            </w:r>
          </w:p>
        </w:tc>
        <w:tc>
          <w:tcPr>
            <w:tcMar>
              <w:top w:type="dxa" w:w="60"/>
              <w:left w:type="dxa" w:w="100"/>
              <w:bottom w:type="dxa" w:w="60"/>
              <w:right w:type="dxa" w:w="100"/>
            </w:tcMar>
          </w:tcPr>
          <w:p>
            <w:pPr>
              <w:spacing w:after="0"/>
            </w:pPr>
            <w:r>
              <w:rPr>
                <w:sz w:val="19"/>
                <w:szCs w:val="19"/>
              </w:rPr>
              <w:t xml:space="preserve">General conditions and supervision</w:t>
            </w:r>
          </w:p>
        </w:tc>
        <w:tc>
          <w:tcPr>
            <w:tcMar>
              <w:top w:type="dxa" w:w="60"/>
              <w:left w:type="dxa" w:w="100"/>
              <w:bottom w:type="dxa" w:w="60"/>
              <w:right w:type="dxa" w:w="100"/>
            </w:tcMar>
          </w:tcPr>
          <w:p>
            <w:pPr>
              <w:spacing w:after="0"/>
            </w:pPr>
            <w:r>
              <w:rPr>
                <w:sz w:val="19"/>
                <w:szCs w:val="19"/>
              </w:rPr>
              <w:t xml:space="preserve">650.00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650.00</w:t>
            </w:r>
          </w:p>
        </w:tc>
      </w:tr>
      <w:tr>
        <w:trPr>
          <w:tblHeader w:val="false"/>
        </w:trPr>
        <w:tc>
          <w:tcPr>
            <w:tcMar>
              <w:top w:type="dxa" w:w="60"/>
              <w:left w:type="dxa" w:w="100"/>
              <w:bottom w:type="dxa" w:w="60"/>
              <w:right w:type="dxa" w:w="100"/>
            </w:tcMar>
          </w:tcPr>
          <w:p>
            <w:pPr>
              <w:spacing w:after="0"/>
            </w:pPr>
            <w:r>
              <w:rPr>
                <w:sz w:val="19"/>
                <w:szCs w:val="19"/>
              </w:rPr>
              <w:t xml:space="preserve">18</w:t>
            </w:r>
          </w:p>
        </w:tc>
        <w:tc>
          <w:tcPr>
            <w:tcMar>
              <w:top w:type="dxa" w:w="60"/>
              <w:left w:type="dxa" w:w="100"/>
              <w:bottom w:type="dxa" w:w="60"/>
              <w:right w:type="dxa" w:w="100"/>
            </w:tcMar>
          </w:tcPr>
          <w:p>
            <w:pPr>
              <w:spacing w:after="0"/>
            </w:pPr>
            <w:r>
              <w:rPr>
                <w:sz w:val="19"/>
                <w:szCs w:val="19"/>
              </w:rPr>
              <w:t xml:space="preserve">Sales tax on materials</w:t>
            </w:r>
          </w:p>
        </w:tc>
        <w:tc>
          <w:tcPr>
            <w:tcMar>
              <w:top w:type="dxa" w:w="60"/>
              <w:left w:type="dxa" w:w="100"/>
              <w:bottom w:type="dxa" w:w="60"/>
              <w:right w:type="dxa" w:w="100"/>
            </w:tcMar>
          </w:tcPr>
          <w:p>
            <w:pPr>
              <w:spacing w:after="0"/>
            </w:pPr>
            <w:r>
              <w:rPr>
                <w:sz w:val="19"/>
                <w:szCs w:val="19"/>
              </w:rPr>
              <w:t xml:space="preserve">335.00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335.00</w:t>
            </w:r>
          </w:p>
        </w:tc>
      </w:tr>
      <w:tr>
        <w:trPr>
          <w:tblHeader w:val="false"/>
        </w:trPr>
        <w:tc>
          <w:tcPr>
            <w:tcMar>
              <w:top w:type="dxa" w:w="60"/>
              <w:left w:type="dxa" w:w="100"/>
              <w:bottom w:type="dxa" w:w="60"/>
              <w:right w:type="dxa" w:w="100"/>
            </w:tcMar>
          </w:tcPr>
          <w:p>
            <w:pPr>
              <w:spacing w:after="0"/>
            </w:pPr>
            <w:r>
              <w:rPr>
                <w:sz w:val="19"/>
                <w:szCs w:val="19"/>
              </w:rPr>
              <w:t xml:space="preserve">19</w:t>
            </w:r>
          </w:p>
        </w:tc>
        <w:tc>
          <w:tcPr>
            <w:tcMar>
              <w:top w:type="dxa" w:w="60"/>
              <w:left w:type="dxa" w:w="100"/>
              <w:bottom w:type="dxa" w:w="60"/>
              <w:right w:type="dxa" w:w="100"/>
            </w:tcMar>
          </w:tcPr>
          <w:p>
            <w:pPr>
              <w:spacing w:after="0"/>
            </w:pPr>
            <w:r>
              <w:rPr>
                <w:sz w:val="19"/>
                <w:szCs w:val="19"/>
              </w:rPr>
              <w:t xml:space="preserve">Contractor overhead and profit, qualifying trades</w:t>
            </w:r>
          </w:p>
        </w:tc>
        <w:tc>
          <w:tcPr>
            <w:tcMar>
              <w:top w:type="dxa" w:w="60"/>
              <w:left w:type="dxa" w:w="100"/>
              <w:bottom w:type="dxa" w:w="60"/>
              <w:right w:type="dxa" w:w="100"/>
            </w:tcMar>
          </w:tcPr>
          <w:p>
            <w:pPr>
              <w:spacing w:after="0"/>
            </w:pPr>
            <w:r>
              <w:rPr>
                <w:sz w:val="19"/>
                <w:szCs w:val="19"/>
              </w:rPr>
              <w:t xml:space="preserve">2,165.00</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n/a</w:t>
            </w:r>
          </w:p>
        </w:tc>
        <w:tc>
          <w:tcPr>
            <w:tcMar>
              <w:top w:type="dxa" w:w="60"/>
              <w:left w:type="dxa" w:w="100"/>
              <w:bottom w:type="dxa" w:w="60"/>
              <w:right w:type="dxa" w:w="100"/>
            </w:tcMar>
          </w:tcPr>
          <w:p>
            <w:pPr>
              <w:spacing w:after="0"/>
            </w:pPr>
            <w:r>
              <w:rPr>
                <w:sz w:val="19"/>
                <w:szCs w:val="19"/>
              </w:rPr>
              <w:t xml:space="preserve">0</w:t>
            </w:r>
          </w:p>
        </w:tc>
        <w:tc>
          <w:tcPr>
            <w:tcMar>
              <w:top w:type="dxa" w:w="60"/>
              <w:left w:type="dxa" w:w="100"/>
              <w:bottom w:type="dxa" w:w="60"/>
              <w:right w:type="dxa" w:w="100"/>
            </w:tcMar>
          </w:tcPr>
          <w:p>
            <w:pPr>
              <w:spacing w:after="0"/>
            </w:pPr>
            <w:r>
              <w:rPr>
                <w:sz w:val="19"/>
                <w:szCs w:val="19"/>
              </w:rPr>
              <w:t xml:space="preserve">0.00</w:t>
            </w:r>
          </w:p>
        </w:tc>
        <w:tc>
          <w:tcPr>
            <w:tcMar>
              <w:top w:type="dxa" w:w="60"/>
              <w:left w:type="dxa" w:w="100"/>
              <w:bottom w:type="dxa" w:w="60"/>
              <w:right w:type="dxa" w:w="100"/>
            </w:tcMar>
          </w:tcPr>
          <w:p>
            <w:pPr>
              <w:spacing w:after="0"/>
            </w:pPr>
            <w:r>
              <w:rPr>
                <w:sz w:val="19"/>
                <w:szCs w:val="19"/>
              </w:rPr>
              <w:t xml:space="preserve">2,165.00</w:t>
            </w:r>
          </w:p>
        </w:tc>
      </w:tr>
    </w:tbl>
    <w:p/>
    <w:p>
      <w:pPr>
        <w:spacing w:after="120"/>
      </w:pPr>
      <w:r>
        <w:t xml:space="preserve">Sources of age. Line 6: county records show the dwelling completed 2005, so 21 years, well inside a 60-year life and depreciated at nil on the method above in any event. Line 7: insured states the hallway and living room were repainted in spring 2023; no invoice produced. Line 8: base trim replaced at the same time on the insured's account, same source. Line 9: shelf unit described by the insured as original to his occupancy in 2014; observation is consistent with that. Line 10: the surround was installed with the water heater by Feldstrom Plumbing under invoice 20941 dated 3 August 2025, eleven months before the loss and inside the file's one-year nil-depreciation threshold. That invoice is in the file for subrogation purposes and is the only documented age input on this sheet.</w:t>
      </w:r>
    </w:p>
    <w:p/>
    <w:p>
      <w:pPr>
        <w:pStyle w:val="Heading2"/>
      </w:pPr>
      <w:r>
        <w:t xml:space="preserve">Summary and reconciliation</w:t>
      </w:r>
    </w:p>
    <w:p>
      <w:pPr>
        <w:spacing w:after="120"/>
      </w:pPr>
      <w:r>
        <w:t xml:space="preserve">Total RCV: $18,340.00</w:t>
      </w:r>
    </w:p>
    <w:p>
      <w:pPr>
        <w:spacing w:after="120"/>
      </w:pPr>
      <w:r>
        <w:t xml:space="preserve">Total depreciation, column sum of lines 7, 8 and 9: $449.55</w:t>
      </w:r>
    </w:p>
    <w:p>
      <w:pPr>
        <w:spacing w:after="120"/>
      </w:pPr>
      <w:r>
        <w:t xml:space="preserve">Depreciation as carried: $450.00</w:t>
      </w:r>
    </w:p>
    <w:p>
      <w:pPr>
        <w:spacing w:after="120"/>
      </w:pPr>
      <w:r>
        <w:t xml:space="preserve">Total ACV: $17,890.00</w:t>
      </w:r>
    </w:p>
    <w:p/>
    <w:p>
      <w:pPr>
        <w:spacing w:after="120"/>
      </w:pPr>
      <w:r>
        <w:t xml:space="preserve">Less deductible, $2,500 all-peril, applied once to this occurrence: $2,500.00</w:t>
      </w:r>
    </w:p>
    <w:p>
      <w:pPr>
        <w:spacing w:after="120"/>
      </w:pPr>
      <w:r>
        <w:t xml:space="preserve">Net payable on an actual cash value basis: $15,390.00</w:t>
      </w:r>
    </w:p>
    <w:p/>
    <w:p>
      <w:pPr>
        <w:spacing w:after="120"/>
      </w:pPr>
      <w:r>
        <w:t xml:space="preserve">The forty-five cents. The ACV column above sums to $17,890.45. Depreciation is rounded up to $450.00 at this line, so the ACV is carried at $17,890.00 and the first payment is forty-five cents lower than the unrounded column would give. The whole $450 is held as recoverable depreciation and is released on the terms in the next section, so nothing is lost by it, but it is written out rather than absorbed because a summary that silently disagrees with its own column by any amount invites the reader to re-check every other figure on the sheet.</w:t>
      </w:r>
    </w:p>
    <w:p/>
    <w:p>
      <w:pPr>
        <w:spacing w:after="120"/>
      </w:pPr>
      <w:r>
        <w:t xml:space="preserve">Reconciliation. The $18,340 RCV and $17,890 ACV figures match the estimate of 20 July line for line and match the figures carried in the reserve rationale memo of 21 July. Building payment issued 24 July 2026, check 0891446, $15,390.00. Contents are not included on this sheet and are valued separately on the contents inventory; the reserve memo carries a placeholder for them.</w:t>
      </w:r>
    </w:p>
    <w:p/>
    <w:p>
      <w:pPr>
        <w:pStyle w:val="Heading2"/>
      </w:pPr>
      <w:r>
        <w:t xml:space="preserve">Recoverable depreciation and what releases it</w:t>
      </w:r>
    </w:p>
    <w:p>
      <w:pPr>
        <w:spacing w:after="120"/>
      </w:pPr>
      <w:r>
        <w:t xml:space="preserve">Held as recoverable depreciation: $450.00.</w:t>
      </w:r>
    </w:p>
    <w:p/>
    <w:p>
      <w:pPr>
        <w:spacing w:after="120"/>
      </w:pPr>
      <w:r>
        <w:t xml:space="preserve">Released on documentation that the repairs described in lines 7, 8 and 9 have actually been completed — a contractor's final invoice showing those line items, or paid receipts if the insured completes the work himself. The policy's replacement cost provision states a period within which the work must be completed for the replacement cost basis to apply; that period and its start date were quoted to the insured verbatim in the letter of 24 July rather than paraphrased, and the letter is in the file.</w:t>
      </w:r>
    </w:p>
    <w:p/>
    <w:p>
      <w:pPr>
        <w:spacing w:after="120"/>
      </w:pPr>
      <w:r>
        <w:t xml:space="preserve">The insured was told on the telephone on 24 July, and in writing the same day, that $450 is being withheld, what it is for, and exactly what releases it. Recorded here because withheld depreciation an insured never knew about is the most common reason it is never claimed.</w:t>
      </w:r>
    </w:p>
    <w:p/>
    <w:p>
      <w:pPr>
        <w:pStyle w:val="Heading2"/>
      </w:pPr>
      <w:r>
        <w:t xml:space="preserve">Assumptions, disputed inputs and open items</w:t>
      </w:r>
    </w:p>
    <w:p>
      <w:pPr>
        <w:spacing w:after="120"/>
      </w:pPr>
      <w:r>
        <w:t xml:space="preserve">1. The paint age is undocumented. The 30% on line 7 is the largest single depreciation figure on this sheet and it rests on the insured's recollection that the area was repainted in spring 2023. No invoice was produced and none is likely to exist; he described the work as done by a relative. Three years on a ten-year life is a reasonable reading of that statement, but it is a statement and not a record, and it is presented here as one. If a document surfaces showing an earlier date, the figure increases; if the work was in fact more recent, it decreases. Either way the arithmetic is not the issue — the input is.</w:t>
      </w:r>
    </w:p>
    <w:p/>
    <w:p>
      <w:pPr>
        <w:spacing w:after="120"/>
      </w:pPr>
      <w:r>
        <w:t xml:space="preserve">2. The base trim age on line 8 comes from the same conversation and has the same weakness. Its effect is small, $69.75, and it is noted for completeness rather than because it is likely to be contested.</w:t>
      </w:r>
    </w:p>
    <w:p/>
    <w:p>
      <w:pPr>
        <w:spacing w:after="120"/>
      </w:pPr>
      <w:r>
        <w:t xml:space="preserve">3. No competing valuation has been advanced. The insured has not retained a public adjuster and has not disputed any figure on this sheet as at the date of writing. If that changes, the competing figure and its stated basis go in this section next to mine rather than replacing it.</w:t>
      </w:r>
    </w:p>
    <w:p/>
    <w:p>
      <w:pPr>
        <w:spacing w:after="120"/>
      </w:pPr>
      <w:r>
        <w:t xml:space="preserve">4. Open: nothing on this sheet is contingent on the duration question recorded elsewhere in the file. Duration bears on whether the loss is covered at all, not on what the repair costs, and the two must not be blended. This worksheet answers only the second question.</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claims.professionaldrafter.com/estimating-and-reserves/acv-depreciation-worksheet/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ACV &amp; Depreciation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ACV &amp; Depreciation Worksheet Template &amp; Example</dc:title>
  <dc:creator>Adjuster Report Library</dc:creator>
  <dc:description>An actual cash value and depreciation worksheet with a filled-in example showing age, life and condition inputs line by line — plus what actually varies by state. Free Word download, no signup.</dc:description>
  <cp:lastModifiedBy>Un-named</cp:lastModifiedBy>
  <cp:revision>1</cp:revision>
  <dcterms:created xsi:type="dcterms:W3CDTF">2026-10-13T13:35:08.915Z</dcterms:created>
  <dcterms:modified xsi:type="dcterms:W3CDTF">2026-10-13T13:35:08.915Z</dcterms:modified>
</cp:coreProperties>
</file>

<file path=docProps/custom.xml><?xml version="1.0" encoding="utf-8"?>
<Properties xmlns="http://schemas.openxmlformats.org/officeDocument/2006/custom-properties" xmlns:vt="http://schemas.openxmlformats.org/officeDocument/2006/docPropsVTypes"/>
</file>