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Claim Photo Log</w:t>
      </w:r>
    </w:p>
    <w:p>
      <w:pPr>
        <w:spacing w:after="120"/>
      </w:pPr>
      <w:r>
        <w:rPr>
          <w:i/>
          <w:iCs/>
          <w:sz w:val="20"/>
          <w:szCs w:val="20"/>
        </w:rPr>
        <w:t xml:space="preserve">Fillable template. Everything highlighted in yellow is yours to replace — 13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claims.professionaldrafter.com/investigation-and-scope/claim-photo-log/</w:t>
      </w:r>
    </w:p>
    <w:p/>
    <w:p>
      <w:pPr>
        <w:pStyle w:val="Heading2"/>
      </w:pPr>
      <w:r>
        <w:t xml:space="preserve">Claim and image-set identification</w:t>
      </w:r>
    </w:p>
    <w:p>
      <w:pPr>
        <w:spacing w:after="120"/>
      </w:pPr>
      <w:r>
        <w:rPr>
          <w:i/>
          <w:iCs/>
          <w:sz w:val="18"/>
          <w:szCs w:val="18"/>
        </w:rPr>
        <w:t xml:space="preserve">Identify the claim, property, inspection and person preparing the index. State whether the log covers the complete set or selected images. Keep an inspection set distinguishable from later submissions so a reader can tell which visit or source supplied an image.</w:t>
      </w:r>
    </w:p>
    <w:p>
      <w:pPr>
        <w:spacing w:after="120"/>
      </w:pPr>
      <w:r>
        <w:rPr>
          <w:highlight w:val="yellow"/>
          <w:highlightCs w:val="yellow"/>
        </w:rPr>
        <w:t xml:space="preserve">[Claim reference; insured; property; inspection date; log preparer and preparation date; image-set reference; complete index or selected entries]</w:t>
      </w:r>
    </w:p>
    <w:p/>
    <w:p>
      <w:pPr>
        <w:pStyle w:val="Heading2"/>
      </w:pPr>
      <w:r>
        <w:t xml:space="preserve">Source, capture date and receipt date</w:t>
      </w:r>
    </w:p>
    <w:p>
      <w:pPr>
        <w:spacing w:after="120"/>
      </w:pPr>
      <w:r>
        <w:rPr>
          <w:i/>
          <w:iCs/>
          <w:sz w:val="18"/>
          <w:szCs w:val="18"/>
        </w:rPr>
        <w:t xml:space="preserve">Use separate entries for who supplied the image, when it was taken if established, and when it reached the claim file. If the capture date is only a person's account, attribute it. NAIC Model 910 §6(C) describes recording initial receipt dates on documents received from the listed outside sources. A receipt date does not answer when the scene was photographed.</w:t>
      </w:r>
    </w:p>
    <w:p>
      <w:pPr>
        <w:spacing w:after="120"/>
      </w:pPr>
      <w:r>
        <w:rPr>
          <w:highlight w:val="yellow"/>
          <w:highlightCs w:val="yellow"/>
        </w:rPr>
        <w:t xml:space="preserve">[Set or image reference; photographer if known; supplied by; capture date and basis, or unconfirmed; receipt date; receipt channel; file location]</w:t>
      </w:r>
    </w:p>
    <w:p/>
    <w:p>
      <w:pPr>
        <w:pStyle w:val="Heading2"/>
      </w:pPr>
      <w:r>
        <w:t xml:space="preserve">Image index and factual captions</w:t>
      </w:r>
    </w:p>
    <w:p>
      <w:pPr>
        <w:spacing w:after="120"/>
      </w:pPr>
      <w:r>
        <w:rPr>
          <w:i/>
          <w:iCs/>
          <w:sz w:val="18"/>
          <w:szCs w:val="18"/>
        </w:rPr>
        <w:t xml:space="preserve">Give each image a stable reference and retain a mapping to its filename. Describe the visible subject before adding any explanation. Attribute information supplied by someone else. Where a photograph supports a scope line, include that line's reference; keep the measured quantity and its method on the scope sheet. The columns below are suggested labels, not official form fields.</w:t>
      </w:r>
    </w:p>
    <w:p>
      <w:pPr>
        <w:spacing w:after="120"/>
      </w:pPr>
      <w:r>
        <w:rPr>
          <w:highlight w:val="yellow"/>
          <w:highlightCs w:val="yellow"/>
        </w:rPr>
        <w:t xml:space="preserve">[Image reference]</w:t>
      </w:r>
      <w:r>
        <w:t xml:space="preserve"> | </w:t>
      </w:r>
      <w:r>
        <w:rPr>
          <w:highlight w:val="yellow"/>
          <w:highlightCs w:val="yellow"/>
        </w:rPr>
        <w:t xml:space="preserve">[Filename]</w:t>
      </w:r>
      <w:r>
        <w:t xml:space="preserve"> | </w:t>
      </w:r>
      <w:r>
        <w:rPr>
          <w:highlight w:val="yellow"/>
          <w:highlightCs w:val="yellow"/>
        </w:rPr>
        <w:t xml:space="preserve">[Location and view]</w:t>
      </w:r>
      <w:r>
        <w:t xml:space="preserve"> | </w:t>
      </w:r>
      <w:r>
        <w:rPr>
          <w:highlight w:val="yellow"/>
          <w:highlightCs w:val="yellow"/>
        </w:rPr>
        <w:t xml:space="preserve">[Visible observation and related scope or report reference]</w:t>
      </w:r>
      <w:r>
        <w:t xml:space="preserve">
</w:t>
      </w:r>
      <w:r>
        <w:rPr>
          <w:highlight w:val="yellow"/>
          <w:highlightCs w:val="yellow"/>
        </w:rPr>
        <w:t xml:space="preserve">[Next reference]</w:t>
      </w:r>
      <w:r>
        <w:t xml:space="preserve"> | </w:t>
      </w:r>
      <w:r>
        <w:rPr>
          <w:highlight w:val="yellow"/>
          <w:highlightCs w:val="yellow"/>
        </w:rPr>
        <w:t xml:space="preserve">[Filename]</w:t>
      </w:r>
      <w:r>
        <w:t xml:space="preserve"> | </w:t>
      </w:r>
      <w:r>
        <w:rPr>
          <w:highlight w:val="yellow"/>
          <w:highlightCs w:val="yellow"/>
        </w:rPr>
        <w:t xml:space="preserve">[Location and view]</w:t>
      </w:r>
      <w:r>
        <w:t xml:space="preserve"> | </w:t>
      </w:r>
      <w:r>
        <w:rPr>
          <w:highlight w:val="yellow"/>
          <w:highlightCs w:val="yellow"/>
        </w:rPr>
        <w:t xml:space="preserve">[Visible observation and related reference]</w:t>
      </w:r>
    </w:p>
    <w:p/>
    <w:p>
      <w:pPr>
        <w:pStyle w:val="Heading2"/>
      </w:pPr>
      <w:r>
        <w:t xml:space="preserve">Limits and missing views</w:t>
      </w:r>
    </w:p>
    <w:p>
      <w:pPr>
        <w:spacing w:after="120"/>
      </w:pPr>
      <w:r>
        <w:rPr>
          <w:i/>
          <w:iCs/>
          <w:sz w:val="18"/>
          <w:szCs w:val="18"/>
        </w:rPr>
        <w:t xml:space="preserve">State what the supplied views leave unresolved. Distinguish a surface shown in an image from a concealed area that was not inspected. Record an absent view as missing, rather than treating it as proof that no damage exists. Give each material gap an action and an owner, or explain why further evidence is unavailable.</w:t>
      </w:r>
    </w:p>
    <w:p>
      <w:pPr>
        <w:spacing w:after="120"/>
      </w:pPr>
      <w:r>
        <w:rPr>
          <w:highlight w:val="yellow"/>
          <w:highlightCs w:val="yellow"/>
        </w:rPr>
        <w:t xml:space="preserve">[Image or area; question not answered; unavailable view or context; next step and owner; expected review date if set]</w:t>
      </w:r>
    </w:p>
    <w:p/>
    <w:p>
      <w:pPr>
        <w:pStyle w:val="Heading2"/>
      </w:pPr>
      <w:r>
        <w:t xml:space="preserve">Copies, annotations and corrections</w:t>
      </w:r>
    </w:p>
    <w:p>
      <w:pPr>
        <w:spacing w:after="120"/>
      </w:pPr>
      <w:r>
        <w:rPr>
          <w:i/>
          <w:iCs/>
          <w:sz w:val="18"/>
          <w:szCs w:val="18"/>
        </w:rPr>
        <w:t xml:space="preserve">Keep the received files and identify annotated working copies separately. Record what an annotation adds and which source image it uses. Correct an inaccurate caption with a dated note that names the earlier wording. This is a drafting method for retaining the distinction between evidence and later explanation; it does not certify authenticity or legal admissibility.</w:t>
      </w:r>
    </w:p>
    <w:p>
      <w:pPr>
        <w:spacing w:after="120"/>
      </w:pPr>
      <w:r>
        <w:rPr>
          <w:highlight w:val="yellow"/>
          <w:highlightCs w:val="yellow"/>
        </w:rPr>
        <w:t xml:space="preserve">[Source filename; working-copy filename; annotation or edit and author; caption correction, reason and date; earlier version retained at]</w:t>
      </w:r>
    </w:p>
    <w:p/>
    <w:p>
      <w:pPr>
        <w:pStyle w:val="Heading2"/>
      </w:pPr>
      <w:r>
        <w:t xml:space="preserve">Report references and delivery record</w:t>
      </w:r>
    </w:p>
    <w:p>
      <w:pPr>
        <w:spacing w:after="120"/>
      </w:pPr>
      <w:r>
        <w:rPr>
          <w:i/>
          <w:iCs/>
          <w:sz w:val="18"/>
          <w:szCs w:val="18"/>
        </w:rPr>
        <w:t xml:space="preserve">List the report or scope revision that uses the index, what was supplied to the reviewer and when. Check that the recipient can locate the referenced files. Record the transmission in the [claim diary](/file-administration/claim-diary-log/); the photo log supplies the image-level detail without replacing that chronology.</w:t>
      </w:r>
    </w:p>
    <w:p>
      <w:pPr>
        <w:spacing w:after="120"/>
      </w:pPr>
      <w:r>
        <w:rPr>
          <w:highlight w:val="yellow"/>
          <w:highlightCs w:val="yellow"/>
        </w:rPr>
        <w:t xml:space="preserve">[Report and scope revisions; index revision; image sets supplied; recipient; delivery date and method; open items carried forward]</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a photo-log extract for the Harbour Lane water loss, claim PC-2026-11482, insured D. Okonjo, adjuster R. Calloway. All names, dates, identifiers, filenames and image counts in this example are fictional and illustrative. No actual photographs accompany it. The capture date of a later policyholder image and the duration of the release remain unresolved.</w:t>
      </w:r>
    </w:p>
    <w:p/>
    <w:p>
      <w:pPr>
        <w:pStyle w:val="Heading2"/>
      </w:pPr>
      <w:r>
        <w:t xml:space="preserve">Claim and image-set identification</w:t>
      </w:r>
    </w:p>
    <w:p>
      <w:pPr>
        <w:spacing w:after="120"/>
      </w:pPr>
      <w:r>
        <w:t xml:space="preserve">Claim PC-2026-11482; insured D. Okonjo; property 118 Harbour Lane. Reported date of loss: 14 July 2026. Inspection: 18 July 2026. Index prepared by R. Calloway on 20 July 2026, revision B.</w:t>
      </w:r>
    </w:p>
    <w:p/>
    <w:p>
      <w:pPr>
        <w:spacing w:after="120"/>
      </w:pPr>
      <w:r>
        <w:t xml:space="preserve">Set RC contains the 47 inspection photographs referenced in the captioned report. The entries below are an extract, selected to demonstrate the indexing method; they are not the complete image schedule. Set DO contains one separately supplied policyholder image. It is not included in the report's count of 47 inspection photographs.</w:t>
      </w:r>
    </w:p>
    <w:p/>
    <w:p>
      <w:pPr>
        <w:pStyle w:val="Heading2"/>
      </w:pPr>
      <w:r>
        <w:t xml:space="preserve">Source, capture date and receipt date</w:t>
      </w:r>
    </w:p>
    <w:p>
      <w:pPr>
        <w:spacing w:after="120"/>
      </w:pPr>
      <w:r>
        <w:t xml:space="preserve">Set RC: photographed by R. Calloway during the 18 July inspection and added to the claim file that day. The inspection notes identify the visit date. These are post-discovery inspection views; they are not presented as photographs of the property when standing water was first found.</w:t>
      </w:r>
    </w:p>
    <w:p/>
    <w:p>
      <w:pPr>
        <w:spacing w:after="120"/>
      </w:pPr>
      <w:r>
        <w:t xml:space="preserve">Set DO: supplied by D. Okonjo through the claim portal on 20 July. He described the image as showing the hallway before the restoration vendor attended. The capture date has not been confirmed. Receipt on 20 July is recorded independently from his account of when the image was taken. Stored under the claim's Policyholder images folder, with the accompanying portal message.</w:t>
      </w:r>
    </w:p>
    <w:p/>
    <w:p>
      <w:pPr>
        <w:pStyle w:val="Heading2"/>
      </w:pPr>
      <w:r>
        <w:t xml:space="preserve">Image index and factual captions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Mar>
              <w:top w:type="dxa" w:w="60"/>
              <w:left w:type="dxa" w:w="100"/>
              <w:bottom w:type="dxa" w:w="60"/>
              <w:right w:type="dxa" w:w="100"/>
            </w:tcMar>
          </w:tcPr>
          <w:p>
            <w:pPr>
              <w:spacing w:after="0"/>
            </w:pPr>
            <w:r>
              <w:rPr>
                <w:sz w:val="19"/>
                <w:szCs w:val="19"/>
              </w:rPr>
              <w:t xml:space="preserve">Image reference</w:t>
            </w:r>
          </w:p>
        </w:tc>
        <w:tc>
          <w:tcPr>
            <w:tcMar>
              <w:top w:type="dxa" w:w="60"/>
              <w:left w:type="dxa" w:w="100"/>
              <w:bottom w:type="dxa" w:w="60"/>
              <w:right w:type="dxa" w:w="100"/>
            </w:tcMar>
          </w:tcPr>
          <w:p>
            <w:pPr>
              <w:spacing w:after="0"/>
            </w:pPr>
            <w:r>
              <w:rPr>
                <w:sz w:val="19"/>
                <w:szCs w:val="19"/>
              </w:rPr>
              <w:t xml:space="preserve">Filename</w:t>
            </w:r>
          </w:p>
        </w:tc>
        <w:tc>
          <w:tcPr>
            <w:tcMar>
              <w:top w:type="dxa" w:w="60"/>
              <w:left w:type="dxa" w:w="100"/>
              <w:bottom w:type="dxa" w:w="60"/>
              <w:right w:type="dxa" w:w="100"/>
            </w:tcMar>
          </w:tcPr>
          <w:p>
            <w:pPr>
              <w:spacing w:after="0"/>
            </w:pPr>
            <w:r>
              <w:rPr>
                <w:sz w:val="19"/>
                <w:szCs w:val="19"/>
              </w:rPr>
              <w:t xml:space="preserve">Location and view</w:t>
            </w:r>
          </w:p>
        </w:tc>
        <w:tc>
          <w:tcPr>
            <w:tcMar>
              <w:top w:type="dxa" w:w="60"/>
              <w:left w:type="dxa" w:w="100"/>
              <w:bottom w:type="dxa" w:w="60"/>
              <w:right w:type="dxa" w:w="100"/>
            </w:tcMar>
          </w:tcPr>
          <w:p>
            <w:pPr>
              <w:spacing w:after="0"/>
            </w:pPr>
            <w:r>
              <w:rPr>
                <w:sz w:val="19"/>
                <w:szCs w:val="19"/>
              </w:rPr>
              <w:t xml:space="preserve">Visible observation and related reference</w:t>
            </w:r>
          </w:p>
        </w:tc>
      </w:tr>
      <w:tr>
        <w:trPr>
          <w:tblHeader w:val="false"/>
        </w:trPr>
        <w:tc>
          <w:tcPr>
            <w:tcMar>
              <w:top w:type="dxa" w:w="60"/>
              <w:left w:type="dxa" w:w="100"/>
              <w:bottom w:type="dxa" w:w="60"/>
              <w:right w:type="dxa" w:w="100"/>
            </w:tcMar>
          </w:tcPr>
          <w:p>
            <w:pPr>
              <w:spacing w:after="0"/>
            </w:pPr>
            <w:r>
              <w:rPr>
                <w:sz w:val="19"/>
                <w:szCs w:val="19"/>
              </w:rPr>
              <w:t xml:space="preserve">RC-03</w:t>
            </w:r>
          </w:p>
        </w:tc>
        <w:tc>
          <w:tcPr>
            <w:tcMar>
              <w:top w:type="dxa" w:w="60"/>
              <w:left w:type="dxa" w:w="100"/>
              <w:bottom w:type="dxa" w:w="60"/>
              <w:right w:type="dxa" w:w="100"/>
            </w:tcMar>
          </w:tcPr>
          <w:p>
            <w:pPr>
              <w:spacing w:after="0"/>
            </w:pPr>
            <w:r>
              <w:rPr>
                <w:sz w:val="19"/>
                <w:szCs w:val="19"/>
              </w:rPr>
              <w:t xml:space="preserve">RC_003.jpg</w:t>
            </w:r>
          </w:p>
        </w:tc>
        <w:tc>
          <w:tcPr>
            <w:tcMar>
              <w:top w:type="dxa" w:w="60"/>
              <w:left w:type="dxa" w:w="100"/>
              <w:bottom w:type="dxa" w:w="60"/>
              <w:right w:type="dxa" w:w="100"/>
            </w:tcMar>
          </w:tcPr>
          <w:p>
            <w:pPr>
              <w:spacing w:after="0"/>
            </w:pPr>
            <w:r>
              <w:rPr>
                <w:sz w:val="19"/>
                <w:szCs w:val="19"/>
              </w:rPr>
              <w:t xml:space="preserve">Utility closet, supply connection detail</w:t>
            </w:r>
          </w:p>
        </w:tc>
        <w:tc>
          <w:tcPr>
            <w:tcMar>
              <w:top w:type="dxa" w:w="60"/>
              <w:left w:type="dxa" w:w="100"/>
              <w:bottom w:type="dxa" w:w="60"/>
              <w:right w:type="dxa" w:w="100"/>
            </w:tcMar>
          </w:tcPr>
          <w:p>
            <w:pPr>
              <w:spacing w:after="0"/>
            </w:pPr>
            <w:r>
              <w:rPr>
                <w:sz w:val="19"/>
                <w:szCs w:val="19"/>
              </w:rPr>
              <w:t xml:space="preserve">Separation visible at the heater-end connection; see report, Cause and origin.</w:t>
            </w:r>
          </w:p>
        </w:tc>
      </w:tr>
      <w:tr>
        <w:trPr>
          <w:tblHeader w:val="false"/>
        </w:trPr>
        <w:tc>
          <w:tcPr>
            <w:tcMar>
              <w:top w:type="dxa" w:w="60"/>
              <w:left w:type="dxa" w:w="100"/>
              <w:bottom w:type="dxa" w:w="60"/>
              <w:right w:type="dxa" w:w="100"/>
            </w:tcMar>
          </w:tcPr>
          <w:p>
            <w:pPr>
              <w:spacing w:after="0"/>
            </w:pPr>
            <w:r>
              <w:rPr>
                <w:sz w:val="19"/>
                <w:szCs w:val="19"/>
              </w:rPr>
              <w:t xml:space="preserve">RC-11</w:t>
            </w:r>
          </w:p>
        </w:tc>
        <w:tc>
          <w:tcPr>
            <w:tcMar>
              <w:top w:type="dxa" w:w="60"/>
              <w:left w:type="dxa" w:w="100"/>
              <w:bottom w:type="dxa" w:w="60"/>
              <w:right w:type="dxa" w:w="100"/>
            </w:tcMar>
          </w:tcPr>
          <w:p>
            <w:pPr>
              <w:spacing w:after="0"/>
            </w:pPr>
            <w:r>
              <w:rPr>
                <w:sz w:val="19"/>
                <w:szCs w:val="19"/>
              </w:rPr>
              <w:t xml:space="preserve">RC_011.jpg</w:t>
            </w:r>
          </w:p>
        </w:tc>
        <w:tc>
          <w:tcPr>
            <w:tcMar>
              <w:top w:type="dxa" w:w="60"/>
              <w:left w:type="dxa" w:w="100"/>
              <w:bottom w:type="dxa" w:w="60"/>
              <w:right w:type="dxa" w:w="100"/>
            </w:tcMar>
          </w:tcPr>
          <w:p>
            <w:pPr>
              <w:spacing w:after="0"/>
            </w:pPr>
            <w:r>
              <w:rPr>
                <w:sz w:val="19"/>
                <w:szCs w:val="19"/>
              </w:rPr>
              <w:t xml:space="preserve">Hallway, lower wall overview</w:t>
            </w:r>
          </w:p>
        </w:tc>
        <w:tc>
          <w:tcPr>
            <w:tcMar>
              <w:top w:type="dxa" w:w="60"/>
              <w:left w:type="dxa" w:w="100"/>
              <w:bottom w:type="dxa" w:w="60"/>
              <w:right w:type="dxa" w:w="100"/>
            </w:tcMar>
          </w:tcPr>
          <w:p>
            <w:pPr>
              <w:spacing w:after="0"/>
            </w:pPr>
            <w:r>
              <w:rPr>
                <w:sz w:val="19"/>
                <w:szCs w:val="19"/>
              </w:rPr>
              <w:t xml:space="preserve">Discoloration visible along the lower wall; see scope, hallway wall items.</w:t>
            </w:r>
          </w:p>
        </w:tc>
      </w:tr>
      <w:tr>
        <w:trPr>
          <w:tblHeader w:val="false"/>
        </w:trPr>
        <w:tc>
          <w:tcPr>
            <w:tcMar>
              <w:top w:type="dxa" w:w="60"/>
              <w:left w:type="dxa" w:w="100"/>
              <w:bottom w:type="dxa" w:w="60"/>
              <w:right w:type="dxa" w:w="100"/>
            </w:tcMar>
          </w:tcPr>
          <w:p>
            <w:pPr>
              <w:spacing w:after="0"/>
            </w:pPr>
            <w:r>
              <w:rPr>
                <w:sz w:val="19"/>
                <w:szCs w:val="19"/>
              </w:rPr>
              <w:t xml:space="preserve">RC-19</w:t>
            </w:r>
          </w:p>
        </w:tc>
        <w:tc>
          <w:tcPr>
            <w:tcMar>
              <w:top w:type="dxa" w:w="60"/>
              <w:left w:type="dxa" w:w="100"/>
              <w:bottom w:type="dxa" w:w="60"/>
              <w:right w:type="dxa" w:w="100"/>
            </w:tcMar>
          </w:tcPr>
          <w:p>
            <w:pPr>
              <w:spacing w:after="0"/>
            </w:pPr>
            <w:r>
              <w:rPr>
                <w:sz w:val="19"/>
                <w:szCs w:val="19"/>
              </w:rPr>
              <w:t xml:space="preserve">RC_019.jpg</w:t>
            </w:r>
          </w:p>
        </w:tc>
        <w:tc>
          <w:tcPr>
            <w:tcMar>
              <w:top w:type="dxa" w:w="60"/>
              <w:left w:type="dxa" w:w="100"/>
              <w:bottom w:type="dxa" w:w="60"/>
              <w:right w:type="dxa" w:w="100"/>
            </w:tcMar>
          </w:tcPr>
          <w:p>
            <w:pPr>
              <w:spacing w:after="0"/>
            </w:pPr>
            <w:r>
              <w:rPr>
                <w:sz w:val="19"/>
                <w:szCs w:val="19"/>
              </w:rPr>
              <w:t xml:space="preserve">Hallway, floor detail</w:t>
            </w:r>
          </w:p>
        </w:tc>
        <w:tc>
          <w:tcPr>
            <w:tcMar>
              <w:top w:type="dxa" w:w="60"/>
              <w:left w:type="dxa" w:w="100"/>
              <w:bottom w:type="dxa" w:w="60"/>
              <w:right w:type="dxa" w:w="100"/>
            </w:tcMar>
          </w:tcPr>
          <w:p>
            <w:pPr>
              <w:spacing w:after="0"/>
            </w:pPr>
            <w:r>
              <w:rPr>
                <w:sz w:val="19"/>
                <w:szCs w:val="19"/>
              </w:rPr>
              <w:t xml:space="preserve">Raised edges visible at flooring joints; see scope, hallway flooring.</w:t>
            </w:r>
          </w:p>
        </w:tc>
      </w:tr>
      <w:tr>
        <w:trPr>
          <w:tblHeader w:val="false"/>
        </w:trPr>
        <w:tc>
          <w:tcPr>
            <w:tcMar>
              <w:top w:type="dxa" w:w="60"/>
              <w:left w:type="dxa" w:w="100"/>
              <w:bottom w:type="dxa" w:w="60"/>
              <w:right w:type="dxa" w:w="100"/>
            </w:tcMar>
          </w:tcPr>
          <w:p>
            <w:pPr>
              <w:spacing w:after="0"/>
            </w:pPr>
            <w:r>
              <w:rPr>
                <w:sz w:val="19"/>
                <w:szCs w:val="19"/>
              </w:rPr>
              <w:t xml:space="preserve">RC-27</w:t>
            </w:r>
          </w:p>
        </w:tc>
        <w:tc>
          <w:tcPr>
            <w:tcMar>
              <w:top w:type="dxa" w:w="60"/>
              <w:left w:type="dxa" w:w="100"/>
              <w:bottom w:type="dxa" w:w="60"/>
              <w:right w:type="dxa" w:w="100"/>
            </w:tcMar>
          </w:tcPr>
          <w:p>
            <w:pPr>
              <w:spacing w:after="0"/>
            </w:pPr>
            <w:r>
              <w:rPr>
                <w:sz w:val="19"/>
                <w:szCs w:val="19"/>
              </w:rPr>
              <w:t xml:space="preserve">RC_027.jpg</w:t>
            </w:r>
          </w:p>
        </w:tc>
        <w:tc>
          <w:tcPr>
            <w:tcMar>
              <w:top w:type="dxa" w:w="60"/>
              <w:left w:type="dxa" w:w="100"/>
              <w:bottom w:type="dxa" w:w="60"/>
              <w:right w:type="dxa" w:w="100"/>
            </w:tcMar>
          </w:tcPr>
          <w:p>
            <w:pPr>
              <w:spacing w:after="0"/>
            </w:pPr>
            <w:r>
              <w:rPr>
                <w:sz w:val="19"/>
                <w:szCs w:val="19"/>
              </w:rPr>
              <w:t xml:space="preserve">Detached garage, interior overview</w:t>
            </w:r>
          </w:p>
        </w:tc>
        <w:tc>
          <w:tcPr>
            <w:tcMar>
              <w:top w:type="dxa" w:w="60"/>
              <w:left w:type="dxa" w:w="100"/>
              <w:bottom w:type="dxa" w:w="60"/>
              <w:right w:type="dxa" w:w="100"/>
            </w:tcMar>
          </w:tcPr>
          <w:p>
            <w:pPr>
              <w:spacing w:after="0"/>
            </w:pPr>
            <w:r>
              <w:rPr>
                <w:sz w:val="19"/>
                <w:szCs w:val="19"/>
              </w:rPr>
              <w:t xml:space="preserve">No standing water visible within this view; see report, Scope of damages.</w:t>
            </w:r>
          </w:p>
        </w:tc>
      </w:tr>
      <w:tr>
        <w:trPr>
          <w:tblHeader w:val="false"/>
        </w:trPr>
        <w:tc>
          <w:tcPr>
            <w:tcMar>
              <w:top w:type="dxa" w:w="60"/>
              <w:left w:type="dxa" w:w="100"/>
              <w:bottom w:type="dxa" w:w="60"/>
              <w:right w:type="dxa" w:w="100"/>
            </w:tcMar>
          </w:tcPr>
          <w:p>
            <w:pPr>
              <w:spacing w:after="0"/>
            </w:pPr>
            <w:r>
              <w:rPr>
                <w:sz w:val="19"/>
                <w:szCs w:val="19"/>
              </w:rPr>
              <w:t xml:space="preserve">DO-A</w:t>
            </w:r>
          </w:p>
        </w:tc>
        <w:tc>
          <w:tcPr>
            <w:tcMar>
              <w:top w:type="dxa" w:w="60"/>
              <w:left w:type="dxa" w:w="100"/>
              <w:bottom w:type="dxa" w:w="60"/>
              <w:right w:type="dxa" w:w="100"/>
            </w:tcMar>
          </w:tcPr>
          <w:p>
            <w:pPr>
              <w:spacing w:after="0"/>
            </w:pPr>
            <w:r>
              <w:rPr>
                <w:sz w:val="19"/>
                <w:szCs w:val="19"/>
              </w:rPr>
              <w:t xml:space="preserve">hallway.jpg</w:t>
            </w:r>
          </w:p>
        </w:tc>
        <w:tc>
          <w:tcPr>
            <w:tcMar>
              <w:top w:type="dxa" w:w="60"/>
              <w:left w:type="dxa" w:w="100"/>
              <w:bottom w:type="dxa" w:w="60"/>
              <w:right w:type="dxa" w:w="100"/>
            </w:tcMar>
          </w:tcPr>
          <w:p>
            <w:pPr>
              <w:spacing w:after="0"/>
            </w:pPr>
            <w:r>
              <w:rPr>
                <w:sz w:val="19"/>
                <w:szCs w:val="19"/>
              </w:rPr>
              <w:t xml:space="preserve">Hallway, supplied by insured</w:t>
            </w:r>
          </w:p>
        </w:tc>
        <w:tc>
          <w:tcPr>
            <w:tcMar>
              <w:top w:type="dxa" w:w="60"/>
              <w:left w:type="dxa" w:w="100"/>
              <w:bottom w:type="dxa" w:w="60"/>
              <w:right w:type="dxa" w:w="100"/>
            </w:tcMar>
          </w:tcPr>
          <w:p>
            <w:pPr>
              <w:spacing w:after="0"/>
            </w:pPr>
            <w:r>
              <w:rPr>
                <w:sz w:val="19"/>
                <w:szCs w:val="19"/>
              </w:rPr>
              <w:t xml:space="preserve">Reflective area visible across part of the floor; supplied context and capture date remain to be confirmed.</w:t>
            </w:r>
          </w:p>
        </w:tc>
      </w:tr>
    </w:tbl>
    <w:p/>
    <w:p>
      <w:pPr>
        <w:spacing w:after="120"/>
      </w:pPr>
      <w:r>
        <w:t xml:space="preserve">The caption for RC-27 describes this image's visible field. The broader statement that the garage was inspected comes from the inspection record. It is not inferred from the photograph alone.</w:t>
      </w:r>
    </w:p>
    <w:p/>
    <w:p>
      <w:pPr>
        <w:pStyle w:val="Heading2"/>
      </w:pPr>
      <w:r>
        <w:t xml:space="preserve">Limits and missing views</w:t>
      </w:r>
    </w:p>
    <w:p>
      <w:pPr>
        <w:spacing w:after="120"/>
      </w:pPr>
      <w:r>
        <w:t xml:space="preserve">The selected images do not show the flooring beneath the utility-closet base cabinet or the insulation inside the affected wall cavity. Those scope items remain undetermined. No image in this extract is being used to assign a quantity to either concealed area.</w:t>
      </w:r>
    </w:p>
    <w:p/>
    <w:p>
      <w:pPr>
        <w:spacing w:after="120"/>
      </w:pPr>
      <w:r>
        <w:t xml:space="preserve">DO-A has no confirmed capture date. R. Calloway will ask the insured for the available original file and clarification of when and where he took it at the next contact planned for 25 July. If that information cannot be obtained, the log will retain the uncertainty. Neither DO-A nor the inspection set establishes how long the supply line released water.</w:t>
      </w:r>
    </w:p>
    <w:p/>
    <w:p>
      <w:pPr>
        <w:pStyle w:val="Heading2"/>
      </w:pPr>
      <w:r>
        <w:t xml:space="preserve">Copies, annotations and corrections</w:t>
      </w:r>
    </w:p>
    <w:p>
      <w:pPr>
        <w:spacing w:after="120"/>
      </w:pPr>
      <w:r>
        <w:t xml:space="preserve">The received RC and DO files are retained without added arrows or text. Working copy RC_011_annotated.jpg adds an arrow identifying the discolored area discussed in the report. It contains no measurement label. The source remains RC_011.jpg.</w:t>
      </w:r>
    </w:p>
    <w:p/>
    <w:p>
      <w:pPr>
        <w:spacing w:after="120"/>
      </w:pPr>
      <w:r>
        <w:t xml:space="preserve">Revision A captioned RC-11 as evidence of a long-running leak. That wording was withdrawn in revision B on 20 July because the photograph does not establish duration. The replacement caption describes the discoloration only. Revision A and this correction note remain in the file so a reader can identify what changed and why.</w:t>
      </w:r>
    </w:p>
    <w:p/>
    <w:p>
      <w:pPr>
        <w:pStyle w:val="Heading2"/>
      </w:pPr>
      <w:r>
        <w:t xml:space="preserve">Report references and delivery record</w:t>
      </w:r>
    </w:p>
    <w:p>
      <w:pPr>
        <w:spacing w:after="120"/>
      </w:pPr>
      <w:r>
        <w:t xml:space="preserve">Revision B accompanies the captioned report and the scope dated 18 July. The examiner receives the complete RC set, DO-A, its portal message and the annotated working copy through the claim file on 20 July. A diary entry records that delivery.</w:t>
      </w:r>
    </w:p>
    <w:p/>
    <w:p>
      <w:pPr>
        <w:spacing w:after="120"/>
      </w:pPr>
      <w:r>
        <w:t xml:space="preserve">The report references continue to use the RC image numbers. DO-A is listed separately with its unresolved capture date. The examiner is asked to use revision B's factual caption for RC-11 and to retain the open questions about release duration and concealed areas in the investigation plan.</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claims.professionaldrafter.com/investigation-and-scope/claim-photo-log/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Claim Photo Log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 Photo Log Template &amp; Example</dc:title>
  <dc:creator>Adjuster Report Library</dc:creator>
  <dc:description>A property claim photo log with a worked example: image references, source and receipt dates, factual captions and unresolved questions. Free Word download.</dc:description>
  <cp:lastModifiedBy>Un-named</cp:lastModifiedBy>
  <cp:revision>1</cp:revision>
  <dcterms:created xsi:type="dcterms:W3CDTF">2026-10-13T13:35:09.352Z</dcterms:created>
  <dcterms:modified xsi:type="dcterms:W3CDTF">2026-10-13T13:35:09.352Z</dcterms:modified>
</cp:coreProperties>
</file>

<file path=docProps/custom.xml><?xml version="1.0" encoding="utf-8"?>
<Properties xmlns="http://schemas.openxmlformats.org/officeDocument/2006/custom-properties" xmlns:vt="http://schemas.openxmlformats.org/officeDocument/2006/docPropsVTypes"/>
</file>