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Claim Denial Letter</w:t>
      </w:r>
    </w:p>
    <w:p>
      <w:pPr>
        <w:spacing w:after="120"/>
      </w:pPr>
      <w:r>
        <w:rPr>
          <w:i/>
          <w:iCs/>
          <w:sz w:val="20"/>
          <w:szCs w:val="20"/>
        </w:rPr>
        <w:t xml:space="preserve">Fillable template. Everything highlighted in yellow is yours to replace — 16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claims.professionaldrafter.com/coverage-and-position/denial-letter/</w:t>
      </w:r>
    </w:p>
    <w:p/>
    <w:p>
      <w:pPr>
        <w:pStyle w:val="Heading2"/>
      </w:pPr>
      <w:r>
        <w:t xml:space="preserve">Identifiers and date</w:t>
      </w:r>
    </w:p>
    <w:p>
      <w:pPr>
        <w:spacing w:after="120"/>
      </w:pPr>
      <w:r>
        <w:rPr>
          <w:i/>
          <w:iCs/>
          <w:sz w:val="18"/>
          <w:szCs w:val="18"/>
        </w:rPr>
        <w:t xml:space="preserve">Claim number, policy number, policy term, named insured, date of loss, loss location, and the date the letter is sent. Record the method of delivery on the file copy. Where your state requires a particular delivery method for a denial, that requirement is a state one and worth confirming before the letter goes out rather than after.</w:t>
      </w:r>
    </w:p>
    <w:p>
      <w:pPr>
        <w:spacing w:after="120"/>
      </w:pPr>
      <w:r>
        <w:t xml:space="preserve">Claim number: </w:t>
      </w:r>
      <w:r>
        <w:rPr>
          <w:highlight w:val="yellow"/>
          <w:highlightCs w:val="yellow"/>
        </w:rPr>
        <w:t xml:space="preserve">[ ______________________ ]</w:t>
      </w:r>
    </w:p>
    <w:p>
      <w:pPr>
        <w:spacing w:after="120"/>
      </w:pPr>
      <w:r>
        <w:t xml:space="preserve">Policy number and term: </w:t>
      </w:r>
      <w:r>
        <w:rPr>
          <w:highlight w:val="yellow"/>
          <w:highlightCs w:val="yellow"/>
        </w:rPr>
        <w:t xml:space="preserve">[ ______________________ ]</w:t>
      </w:r>
    </w:p>
    <w:p>
      <w:pPr>
        <w:spacing w:after="120"/>
      </w:pPr>
      <w:r>
        <w:t xml:space="preserve">Date of loss: </w:t>
      </w:r>
      <w:r>
        <w:rPr>
          <w:highlight w:val="yellow"/>
          <w:highlightCs w:val="yellow"/>
        </w:rPr>
        <w:t xml:space="preserve">[ ______________________ ]</w:t>
      </w:r>
    </w:p>
    <w:p>
      <w:pPr>
        <w:spacing w:after="120"/>
      </w:pPr>
      <w:r>
        <w:t xml:space="preserve">Method of delivery: </w:t>
      </w:r>
      <w:r>
        <w:rPr>
          <w:highlight w:val="yellow"/>
          <w:highlightCs w:val="yellow"/>
        </w:rPr>
        <w:t xml:space="preserve">[ ______________________ ]</w:t>
      </w:r>
    </w:p>
    <w:p>
      <w:pPr>
        <w:spacing w:after="120"/>
      </w:pPr>
      <w:r>
        <w:rPr>
          <w:highlight w:val="yellow"/>
          <w:highlightCs w:val="yellow"/>
        </w:rPr>
        <w:t xml:space="preserve">[Date. Insured name and mailing address. RE: Claim no. &lt;n&gt;; Policy no. &lt;n&gt;; Policy term &lt;dates&gt;; Date of loss &lt;date&gt;; Loss location &lt;address&gt;. Sent by &lt;method&gt;.]</w:t>
      </w:r>
    </w:p>
    <w:p/>
    <w:p>
      <w:pPr>
        <w:pStyle w:val="Heading2"/>
      </w:pPr>
      <w:r>
        <w:t xml:space="preserve">The decision, stated plainly</w:t>
      </w:r>
    </w:p>
    <w:p>
      <w:pPr>
        <w:spacing w:after="120"/>
      </w:pPr>
      <w:r>
        <w:rPr>
          <w:i/>
          <w:iCs/>
          <w:sz w:val="18"/>
          <w:szCs w:val="18"/>
        </w:rPr>
        <w:t xml:space="preserve">One sentence, in the first paragraph, in ordinary words. No decision has been made regarding, or we are unable to extend coverage at this time, leaves the reader unsure what has happened. Say that the claim is denied, say which claim, and say that the reasons follow. Ambiguity here is the single most common complaint driver on an otherwise defensible letter.</w:t>
      </w:r>
    </w:p>
    <w:p>
      <w:pPr>
        <w:spacing w:after="120"/>
      </w:pPr>
      <w:r>
        <w:rPr>
          <w:highlight w:val="yellow"/>
          <w:highlightCs w:val="yellow"/>
        </w:rPr>
        <w:t xml:space="preserve">[We have completed our investigation of this claim. We are denying the claim. The reasons are set out below, with the facts and the policy provisions each reason rests on.]</w:t>
      </w:r>
    </w:p>
    <w:p/>
    <w:p>
      <w:pPr>
        <w:pStyle w:val="Heading2"/>
      </w:pPr>
      <w:r>
        <w:t xml:space="preserve">What we did to investigate</w:t>
      </w:r>
    </w:p>
    <w:p>
      <w:pPr>
        <w:spacing w:after="120"/>
      </w:pPr>
      <w:r>
        <w:rPr>
          <w:i/>
          <w:iCs/>
          <w:sz w:val="18"/>
          <w:szCs w:val="18"/>
        </w:rPr>
        <w:t xml:space="preserve">A short chronology: dates of contact, inspection, documents received, experts instructed, statements taken. It is short and it does two things — it shows the decision followed an investigation rather than preceding one, and it gives the insured a checkable list, so a missing item can be supplied rather than argued about.</w:t>
      </w:r>
    </w:p>
    <w:p>
      <w:pPr>
        <w:spacing w:after="120"/>
      </w:pPr>
      <w:r>
        <w:rPr>
          <w:highlight w:val="yellow"/>
          <w:highlightCs w:val="yellow"/>
        </w:rPr>
        <w:t xml:space="preserve">[We received notice on &lt;date&gt;. We contacted you on &lt;date&gt;. We inspected on &lt;date&gt;. We received &lt;documents&gt; on &lt;dates&gt;. We instructed &lt;expert&gt; on &lt;date&gt; and received their report on &lt;date&gt;.]</w:t>
      </w:r>
    </w:p>
    <w:p/>
    <w:p>
      <w:pPr>
        <w:pStyle w:val="Heading2"/>
      </w:pPr>
      <w:r>
        <w:t xml:space="preserve">Reason 1 — factual basis</w:t>
      </w:r>
    </w:p>
    <w:p>
      <w:pPr>
        <w:spacing w:after="120"/>
      </w:pPr>
      <w:r>
        <w:rPr>
          <w:i/>
          <w:iCs/>
          <w:sz w:val="18"/>
          <w:szCs w:val="18"/>
        </w:rPr>
        <w:t xml:space="preserve">The facts this reason rests on, numbered, dated and attributed to a source: your inspection, the insured's statement, a named report, a document. Facts only. If a sentence contains a characterization, it belongs in the application paragraph instead. Where a fact came from an expert, name the expert and the report date, because a reader is entitled to know that the finding is theirs.</w:t>
      </w:r>
    </w:p>
    <w:p>
      <w:pPr>
        <w:spacing w:after="120"/>
      </w:pPr>
      <w:r>
        <w:rPr>
          <w:highlight w:val="yellow"/>
          <w:highlightCs w:val="yellow"/>
        </w:rPr>
        <w:t xml:space="preserve">[1. &lt;Fact, with date and source.&gt; 2. &lt;Fact, with date and source.&gt; 3. &lt;Fact, with date and source.&gt;]</w:t>
      </w:r>
    </w:p>
    <w:p/>
    <w:p>
      <w:pPr>
        <w:pStyle w:val="Heading2"/>
      </w:pPr>
      <w:r>
        <w:t xml:space="preserve">Reason 1 — policy or legal basis</w:t>
      </w:r>
    </w:p>
    <w:p>
      <w:pPr>
        <w:spacing w:after="120"/>
      </w:pPr>
      <w:r>
        <w:rPr>
          <w:i/>
          <w:iCs/>
          <w:sz w:val="18"/>
          <w:szCs w:val="18"/>
        </w:rPr>
        <w:t xml:space="preserve">The provision quoted verbatim with its form number, endorsement number if any, and section reference. Quote the operative words, not the heading. Where a statute or regulation is part of the basis, cite it as well. A quotation that runs two lines longer than necessary costs nothing; a paraphrase that shortens the provision by one qualifier costs the letter. This is also the section that carries the one requirement the model regulation states directly: Model 902 §7(A) recommends that a claim not be denied on the grounds of a specific provision, condition or exclusion unless reference to it is included in the denial itself.</w:t>
      </w:r>
    </w:p>
    <w:p>
      <w:pPr>
        <w:spacing w:after="120"/>
      </w:pPr>
      <w:r>
        <w:rPr>
          <w:highlight w:val="yellow"/>
          <w:highlightCs w:val="yellow"/>
        </w:rPr>
        <w:t xml:space="preserve">[Form &lt;n&gt;, Section &lt;n&gt;, &lt;heading&gt;, provides: "&lt;verbatim quotation&gt;". &lt;Statutory or regulatory basis, if any.&gt;]</w:t>
      </w:r>
    </w:p>
    <w:p/>
    <w:p>
      <w:pPr>
        <w:pStyle w:val="Heading2"/>
      </w:pPr>
      <w:r>
        <w:t xml:space="preserve">Reason 1 — application</w:t>
      </w:r>
    </w:p>
    <w:p>
      <w:pPr>
        <w:spacing w:after="120"/>
      </w:pPr>
      <w:r>
        <w:rPr>
          <w:i/>
          <w:iCs/>
          <w:sz w:val="18"/>
          <w:szCs w:val="18"/>
        </w:rPr>
        <w:t xml:space="preserve">The sentence that joins them, and the one every deficient letter is missing. Name the numbered facts and say why they bring the claim within the quoted words. Two or three sentences is usually right. If you cannot write them without adding a fact that is not in the list above, the fact list is incomplete.</w:t>
      </w:r>
    </w:p>
    <w:p>
      <w:pPr>
        <w:spacing w:after="120"/>
      </w:pPr>
      <w:r>
        <w:rPr>
          <w:highlight w:val="yellow"/>
          <w:highlightCs w:val="yellow"/>
        </w:rPr>
        <w:t xml:space="preserve">[Facts &lt;n&gt; and &lt;n&gt; bring the loss within the provision quoted, because &lt;the connection&gt;. On that basis this portion of the claim is denied.]</w:t>
      </w:r>
    </w:p>
    <w:p/>
    <w:p>
      <w:pPr>
        <w:pStyle w:val="Heading2"/>
      </w:pPr>
      <w:r>
        <w:t xml:space="preserve">Reason 2 and any further reasons</w:t>
      </w:r>
    </w:p>
    <w:p>
      <w:pPr>
        <w:spacing w:after="120"/>
      </w:pPr>
      <w:r>
        <w:rPr>
          <w:i/>
          <w:iCs/>
          <w:sz w:val="18"/>
          <w:szCs w:val="18"/>
        </w:rPr>
        <w:t xml:space="preserve">Repeat the three blocks for each additional reason. Give every reason you are actually relying on; a reason omitted from the letter is one the insured has not been told about, and whether one can be added afterwards is a question of state law you do not want to be asking later. Equally, do not pad. A second reason with no facts behind it weakens the first, and it is the pattern that gets described as a laundry list.</w:t>
      </w:r>
    </w:p>
    <w:p>
      <w:pPr>
        <w:spacing w:after="120"/>
      </w:pPr>
      <w:r>
        <w:rPr>
          <w:highlight w:val="yellow"/>
          <w:highlightCs w:val="yellow"/>
        </w:rPr>
        <w:t xml:space="preserve">[Reason 2 - factual basis: &lt;numbered facts&gt;. Reason 2 - policy or legal basis: "&lt;verbatim quotation&gt;". Reason 2 - application: &lt;the connection&gt;.]</w:t>
      </w:r>
    </w:p>
    <w:p/>
    <w:p>
      <w:pPr>
        <w:pStyle w:val="Heading2"/>
      </w:pPr>
      <w:r>
        <w:t xml:space="preserve">What this letter does not decide</w:t>
      </w:r>
    </w:p>
    <w:p>
      <w:pPr>
        <w:spacing w:after="120"/>
      </w:pPr>
      <w:r>
        <w:rPr>
          <w:i/>
          <w:iCs/>
          <w:sz w:val="18"/>
          <w:szCs w:val="18"/>
        </w:rPr>
        <w:t xml:space="preserve">Where you have investigated something and are not relying on it, say so. Silence on a provision that was live earlier in the file leaves the insured guessing, and it leaves the next reviewer unable to tell whether it was dropped or overlooked. One sentence per item.</w:t>
      </w:r>
    </w:p>
    <w:p>
      <w:pPr>
        <w:spacing w:after="120"/>
      </w:pPr>
      <w:r>
        <w:rPr>
          <w:highlight w:val="yellow"/>
          <w:highlightCs w:val="yellow"/>
        </w:rPr>
        <w:t xml:space="preserve">[We investigated &lt;question&gt; and are not relying on it. We are not raising &lt;provision&gt;. Nothing in this letter addresses &lt;separate matter&gt;.]</w:t>
      </w:r>
    </w:p>
    <w:p/>
    <w:p>
      <w:pPr>
        <w:pStyle w:val="Heading2"/>
      </w:pPr>
      <w:r>
        <w:t xml:space="preserve">Policy provisions bearing on what happens next</w:t>
      </w:r>
    </w:p>
    <w:p>
      <w:pPr>
        <w:spacing w:after="120"/>
      </w:pPr>
      <w:r>
        <w:rPr>
          <w:i/>
          <w:iCs/>
          <w:sz w:val="18"/>
          <w:szCs w:val="18"/>
        </w:rPr>
        <w:t xml:space="preserve">Point to the provisions that govern what the insured can do — the appraisal clause where the dispute is about amount, the suit limitation period, and any provision requiring a sworn proof of loss. Quote them or reference them by section, and do not characterize them. This is also where a department of insurance notice goes: Model 902 §7(H) recommends that where a claimant objects to a rejection, the insurer notify them in writing that the matter may be reviewed by the state's insurance department, with the department's address and telephone number filled in. States that adopted it word the notice differently and some require it on the denial itself rather than after an objection, so take the wording from your state's own text rather than from another carrier's letter.</w:t>
      </w:r>
    </w:p>
    <w:p>
      <w:pPr>
        <w:spacing w:after="120"/>
      </w:pPr>
      <w:r>
        <w:rPr>
          <w:highlight w:val="yellow"/>
          <w:highlightCs w:val="yellow"/>
        </w:rPr>
        <w:t xml:space="preserve">[Your policy provides at Section &lt;n&gt;: "&lt;appraisal or suit limitation clause, verbatim&gt;". &lt;State-required department of insurance notice, in the wording your state prescribes.&gt;]</w:t>
      </w:r>
    </w:p>
    <w:p/>
    <w:p>
      <w:pPr>
        <w:pStyle w:val="Heading2"/>
      </w:pPr>
      <w:r>
        <w:t xml:space="preserve">Reopening and contact</w:t>
      </w:r>
    </w:p>
    <w:p>
      <w:pPr>
        <w:spacing w:after="120"/>
      </w:pPr>
      <w:r>
        <w:rPr>
          <w:i/>
          <w:iCs/>
          <w:sz w:val="18"/>
          <w:szCs w:val="18"/>
        </w:rPr>
        <w:t xml:space="preserve">Say what would cause the file to be looked at again, in concrete terms: new information bearing on the numbered facts. Then give a named person and a direct line. An invitation to submit further information is only meaningful if the letter has already told the reader which facts matter.</w:t>
      </w:r>
    </w:p>
    <w:p>
      <w:pPr>
        <w:spacing w:after="120"/>
      </w:pPr>
      <w:r>
        <w:t xml:space="preserve">Adjuster and direct line: </w:t>
      </w:r>
      <w:r>
        <w:rPr>
          <w:highlight w:val="yellow"/>
          <w:highlightCs w:val="yellow"/>
        </w:rPr>
        <w:t xml:space="preserve">[ ______________________ ]</w:t>
      </w:r>
    </w:p>
    <w:p>
      <w:pPr>
        <w:spacing w:after="120"/>
      </w:pPr>
      <w:r>
        <w:t xml:space="preserve">Examiner: </w:t>
      </w:r>
      <w:r>
        <w:rPr>
          <w:highlight w:val="yellow"/>
          <w:highlightCs w:val="yellow"/>
        </w:rPr>
        <w:t xml:space="preserve">[ ______________________ ]</w:t>
      </w:r>
    </w:p>
    <w:p>
      <w:pPr>
        <w:spacing w:after="120"/>
      </w:pPr>
      <w:r>
        <w:rPr>
          <w:highlight w:val="yellow"/>
          <w:highlightCs w:val="yellow"/>
        </w:rPr>
        <w:t xml:space="preserve">[If you have information bearing on the facts above, send it to the writer and we will review the decision. &lt;Adjuster name, title, direct telephone, email.&gt; Examiner: &lt;name&gt;.]</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 full denial on a claim for interior water damage where the investigation established a long-standing condition and, separately, a material gap in the insured's records. Two reasons, each paired with its facts and its policy language. The claim and the parties are invented; the conclusion illustrates a structure and is not a statement about what any real policy covers.</w:t>
      </w:r>
    </w:p>
    <w:p/>
    <w:p>
      <w:pPr>
        <w:pStyle w:val="Heading2"/>
      </w:pPr>
      <w:r>
        <w:t xml:space="preserve">Identifiers and date</w:t>
      </w:r>
    </w:p>
    <w:p>
      <w:pPr>
        <w:spacing w:after="120"/>
      </w:pPr>
      <w:r>
        <w:t xml:space="preserve">9 July 2026</w:t>
      </w:r>
    </w:p>
    <w:p/>
    <w:p>
      <w:pPr>
        <w:spacing w:after="120"/>
      </w:pPr>
      <w:r>
        <w:t xml:space="preserve">Ms L. Bergstrom</w:t>
      </w:r>
    </w:p>
    <w:p>
      <w:pPr>
        <w:spacing w:after="120"/>
      </w:pPr>
      <w:r>
        <w:t xml:space="preserve">47 Cutter Row</w:t>
      </w:r>
    </w:p>
    <w:p/>
    <w:p>
      <w:pPr>
        <w:spacing w:after="120"/>
      </w:pPr>
      <w:r>
        <w:t xml:space="preserve">RE: Claim no. PC-2026-09134</w:t>
      </w:r>
    </w:p>
    <w:p>
      <w:pPr>
        <w:spacing w:after="120"/>
      </w:pPr>
      <w:r>
        <w:t xml:space="preserve">Policy no. HO-4390118, term 1 January 2026 to 1 January 2027</w:t>
      </w:r>
    </w:p>
    <w:p>
      <w:pPr>
        <w:spacing w:after="120"/>
      </w:pPr>
      <w:r>
        <w:t xml:space="preserve">Date of loss: reported 2 June 2026</w:t>
      </w:r>
    </w:p>
    <w:p>
      <w:pPr>
        <w:spacing w:after="120"/>
      </w:pPr>
      <w:r>
        <w:t xml:space="preserve">Loss location: 47 Cutter Row</w:t>
      </w:r>
    </w:p>
    <w:p/>
    <w:p>
      <w:pPr>
        <w:spacing w:after="120"/>
      </w:pPr>
      <w:r>
        <w:t xml:space="preserve">Sent by first-class mail and by email to the address on file.</w:t>
      </w:r>
    </w:p>
    <w:p/>
    <w:p>
      <w:pPr>
        <w:pStyle w:val="Heading2"/>
      </w:pPr>
      <w:r>
        <w:t xml:space="preserve">The decision, stated plainly</w:t>
      </w:r>
    </w:p>
    <w:p>
      <w:pPr>
        <w:spacing w:after="120"/>
      </w:pPr>
      <w:r>
        <w:t xml:space="preserve">We have completed our investigation of this claim. We are denying it in full. No payment will be issued.</w:t>
      </w:r>
    </w:p>
    <w:p/>
    <w:p>
      <w:pPr>
        <w:spacing w:after="120"/>
      </w:pPr>
      <w:r>
        <w:t xml:space="preserve">There are two reasons. Each is set out below with the facts it rests on and the provision of your policy it rests on. If you believe any of the facts are wrong, tell us, because the decision follows from them.</w:t>
      </w:r>
    </w:p>
    <w:p/>
    <w:p>
      <w:pPr>
        <w:pStyle w:val="Heading2"/>
      </w:pPr>
      <w:r>
        <w:t xml:space="preserve">What we did to investigate</w:t>
      </w:r>
    </w:p>
    <w:p>
      <w:pPr>
        <w:spacing w:after="120"/>
      </w:pPr>
      <w:r>
        <w:t xml:space="preserve">We received notice of the claim on 2 June 2026 and contacted you by telephone the same day. R. Calloway inspected the property on 5 June 2026 and again, with a moisture meter and a borescope, on 12 June 2026. We received your photographs on 8 June and the 2023 home inspection report you supplied on 15 June. We instructed Harrowgate Building Consultants on 16 June 2026 and received their report, reference HBC-4471, on 30 June 2026. We asked you on 5, 12 and 22 June for the plumbing repair invoices described in reason 2, and those have not been received.</w:t>
      </w:r>
    </w:p>
    <w:p/>
    <w:p>
      <w:pPr>
        <w:pStyle w:val="Heading2"/>
      </w:pPr>
      <w:r>
        <w:t xml:space="preserve">Reason 1 — factual basis</w:t>
      </w:r>
    </w:p>
    <w:p>
      <w:pPr>
        <w:spacing w:after="120"/>
      </w:pPr>
      <w:r>
        <w:t xml:space="preserve">1. On inspection of 5 June 2026 the writer observed staining on the underside of the subfloor beneath the second-floor bathroom extending approximately 40 inches from the closet flange, with defined tide lines at three distinct heights.</w:t>
      </w:r>
    </w:p>
    <w:p/>
    <w:p>
      <w:pPr>
        <w:spacing w:after="120"/>
      </w:pPr>
      <w:r>
        <w:t xml:space="preserve">2. On inspection of 12 June 2026 the writer observed rot in the subfloor sheathing over an area of approximately 11 square feet, with loss of section sufficient to permit a probe to pass through the panel at two locations.</w:t>
      </w:r>
    </w:p>
    <w:p/>
    <w:p>
      <w:pPr>
        <w:spacing w:after="120"/>
      </w:pPr>
      <w:r>
        <w:t xml:space="preserve">3. The home inspection report you supplied, dated 4 April 2023, records at page 9: staining noted to subfloor below second-floor bathroom, recommend evaluation by a plumber.</w:t>
      </w:r>
    </w:p>
    <w:p/>
    <w:p>
      <w:pPr>
        <w:spacing w:after="120"/>
      </w:pPr>
      <w:r>
        <w:t xml:space="preserve">4. Harrowgate Building Consultants, in report HBC-4471 dated 30 June 2026, concluded that the wax seal at the closet flange had failed and that the resulting seepage had occurred over a period they estimated at not less than two years, based on the extent of decay and the multiple tide lines described at facts 1 and 2.</w:t>
      </w:r>
    </w:p>
    <w:p/>
    <w:p>
      <w:pPr>
        <w:pStyle w:val="Heading2"/>
      </w:pPr>
      <w:r>
        <w:t xml:space="preserve">Reason 1 — policy or legal basis</w:t>
      </w:r>
    </w:p>
    <w:p>
      <w:pPr>
        <w:spacing w:after="120"/>
      </w:pPr>
      <w:r>
        <w:t xml:space="preserve">Form HO-3, Section I - Exclusions, provides that we do not insure for loss caused by constant or repeated seepage or leakage of water, or the presence or condensation of humidity, moisture or vapor, over a period of weeks, months or years, from within a plumbing, heating, air conditioning or automatic fire protective sprinkler system or from within a household appliance.</w:t>
      </w:r>
    </w:p>
    <w:p/>
    <w:p>
      <w:pPr>
        <w:spacing w:after="120"/>
      </w:pPr>
      <w:r>
        <w:t xml:space="preserve">The same section provides that we do not insure for loss caused by wear and tear, marring, or deterioration.</w:t>
      </w:r>
    </w:p>
    <w:p/>
    <w:p>
      <w:pPr>
        <w:pStyle w:val="Heading2"/>
      </w:pPr>
      <w:r>
        <w:t xml:space="preserve">Reason 1 — application</w:t>
      </w:r>
    </w:p>
    <w:p>
      <w:pPr>
        <w:spacing w:after="120"/>
      </w:pPr>
      <w:r>
        <w:t xml:space="preserve">Facts 1 to 4 establish that water escaped from the closet flange over an extended period rather than in a single event. The multiple tide lines and the loss of section in the sheathing are physical evidence of repeated wetting and drying; the 2023 inspection report records the same staining three years before this claim; and Harrowgate's estimate of a period of not less than two years rests on both.</w:t>
      </w:r>
    </w:p>
    <w:p/>
    <w:p>
      <w:pPr>
        <w:spacing w:after="120"/>
      </w:pPr>
      <w:r>
        <w:t xml:space="preserve">That is loss caused by constant or repeated seepage over a period of weeks, months or years from within a plumbing system, in the words of the provision quoted. On that basis the claim is denied.</w:t>
      </w:r>
    </w:p>
    <w:p/>
    <w:p>
      <w:pPr>
        <w:pStyle w:val="Heading2"/>
      </w:pPr>
      <w:r>
        <w:t xml:space="preserve">Reason 2 and any further reasons</w:t>
      </w:r>
    </w:p>
    <w:p>
      <w:pPr>
        <w:spacing w:after="120"/>
      </w:pPr>
      <w:r>
        <w:t xml:space="preserve">Reason 2 - factual basis.</w:t>
      </w:r>
    </w:p>
    <w:p/>
    <w:p>
      <w:pPr>
        <w:spacing w:after="120"/>
      </w:pPr>
      <w:r>
        <w:t xml:space="preserve">5. In your recorded statement of 5 June 2026 you said that a plumber had attended in 2024 to work on the second-floor bathroom, that the work involved the toilet, and that you believed the invoices were held by your former property manager.</w:t>
      </w:r>
    </w:p>
    <w:p/>
    <w:p>
      <w:pPr>
        <w:spacing w:after="120"/>
      </w:pPr>
      <w:r>
        <w:t xml:space="preserve">6. We asked you in writing for those invoices and for the plumber's name on 5 June, 12 June and 22 June 2026. As of the date of this letter we have received neither.</w:t>
      </w:r>
    </w:p>
    <w:p/>
    <w:p>
      <w:pPr>
        <w:spacing w:after="120"/>
      </w:pPr>
      <w:r>
        <w:t xml:space="preserve">7. In your recorded statement you were unable to give the plumber's name or the month of the attendance.</w:t>
      </w:r>
    </w:p>
    <w:p/>
    <w:p>
      <w:pPr>
        <w:spacing w:after="120"/>
      </w:pPr>
      <w:r>
        <w:t xml:space="preserve">Reason 2 - policy or legal basis.</w:t>
      </w:r>
    </w:p>
    <w:p/>
    <w:p>
      <w:pPr>
        <w:spacing w:after="120"/>
      </w:pPr>
      <w:r>
        <w:t xml:space="preserve">Form HO-3, Section I - Conditions, Your Duties After Loss, provides that in case of a loss to covered property you must, as often as we reasonably require, provide us with records and documents we request and permit us to make copies.</w:t>
      </w:r>
    </w:p>
    <w:p/>
    <w:p>
      <w:pPr>
        <w:spacing w:after="120"/>
      </w:pPr>
      <w:r>
        <w:t xml:space="preserve">Reason 2 - application.</w:t>
      </w:r>
    </w:p>
    <w:p/>
    <w:p>
      <w:pPr>
        <w:spacing w:after="120"/>
      </w:pPr>
      <w:r>
        <w:t xml:space="preserve">The repair records described at fact 5 bear directly on when the flange seal failed and on what was done about it, which is the question at the center of reason 1. They were requested three times over seventeen days and have not been provided, and we have not been given the plumber's name so that we could request them ourselves. This is a second and independent basis for the denial.</w:t>
      </w:r>
    </w:p>
    <w:p/>
    <w:p>
      <w:pPr>
        <w:spacing w:after="120"/>
      </w:pPr>
      <w:r>
        <w:t xml:space="preserve">If those records exist and you are able to obtain them, send them to the writer. They bear on the facts underlying reason 1 as well as reason 2, and we will review the whole decision if we receive them.</w:t>
      </w:r>
    </w:p>
    <w:p/>
    <w:p>
      <w:pPr>
        <w:pStyle w:val="Heading2"/>
      </w:pPr>
      <w:r>
        <w:t xml:space="preserve">What this letter does not decide</w:t>
      </w:r>
    </w:p>
    <w:p>
      <w:pPr>
        <w:spacing w:after="120"/>
      </w:pPr>
      <w:r>
        <w:t xml:space="preserve">We investigated whether the damage to the first-floor ceiling was separate from the subfloor condition and concluded it was not. We are not relying on any other exclusion in your policy, and in particular we are not raising neglect or the mold and fungus provisions.</w:t>
      </w:r>
    </w:p>
    <w:p/>
    <w:p>
      <w:pPr>
        <w:spacing w:after="120"/>
      </w:pPr>
      <w:r>
        <w:t xml:space="preserve">This letter addresses the interior water damage reported on 2 June 2026 only. It does not address the fence damage you reported on 21 June 2026, which is being handled under claim PC-2026-09702 and remains open.</w:t>
      </w:r>
    </w:p>
    <w:p/>
    <w:p>
      <w:pPr>
        <w:pStyle w:val="Heading2"/>
      </w:pPr>
      <w:r>
        <w:t xml:space="preserve">Policy provisions bearing on what happens next</w:t>
      </w:r>
    </w:p>
    <w:p>
      <w:pPr>
        <w:spacing w:after="120"/>
      </w:pPr>
      <w:r>
        <w:t xml:space="preserve">Your policy provides at Section I - Conditions, Appraisal, that if you and we fail to agree on the amount of loss, either may demand an appraisal of the loss, in which case each party will choose a competent and impartial appraiser within 20 days after receiving a written request from the other.</w:t>
      </w:r>
    </w:p>
    <w:p/>
    <w:p>
      <w:pPr>
        <w:spacing w:after="120"/>
      </w:pPr>
      <w:r>
        <w:t xml:space="preserve">The same section provides, under Suit Against Us, that no action can be brought unless the policy provisions have been complied with and the action is started within the period stated in that provision. The period is stated in your policy and it is short. Read that provision now rather than later.</w:t>
      </w:r>
    </w:p>
    <w:p/>
    <w:p>
      <w:pPr>
        <w:spacing w:after="120"/>
      </w:pPr>
      <w:r>
        <w:t xml:space="preserve">If you disagree with this decision you may contact the department of insurance in your state.</w:t>
      </w:r>
    </w:p>
    <w:p/>
    <w:p>
      <w:pPr>
        <w:pStyle w:val="Heading2"/>
      </w:pPr>
      <w:r>
        <w:t xml:space="preserve">Reopening and contact</w:t>
      </w:r>
    </w:p>
    <w:p>
      <w:pPr>
        <w:spacing w:after="120"/>
      </w:pPr>
      <w:r>
        <w:t xml:space="preserve">If you obtain the plumbing records described at fact 5, or any other information bearing on the numbered facts above, send it to the writer and we will review this decision. Information that does not bear on those facts is unlikely to change the outcome, and we would rather tell you that now than have you spend time on it.</w:t>
      </w:r>
    </w:p>
    <w:p/>
    <w:p>
      <w:pPr>
        <w:spacing w:after="120"/>
      </w:pPr>
      <w:r>
        <w:t xml:space="preserve">R. Calloway, field adjuster, direct line and email as shown above. The examiner assigned to this claim is C. Mendez, who can be reached on the same main number.</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claims.professionaldrafter.com/coverage-and-position/denial-letter/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Claim Denial 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 Denial Letter Template &amp; Example</dc:title>
  <dc:creator>Adjuster Report Library</dc:creator>
  <dc:description>A claim denial letter template with a fully written example, each reason pairing its factual and legal basis, plus how to respond to a denial. Free Word download, no signup.</dc:description>
  <cp:lastModifiedBy>Un-named</cp:lastModifiedBy>
  <cp:revision>1</cp:revision>
  <dcterms:created xsi:type="dcterms:W3CDTF">2026-10-13T13:35:08.789Z</dcterms:created>
  <dcterms:modified xsi:type="dcterms:W3CDTF">2026-10-13T13:35:08.789Z</dcterms:modified>
</cp:coreProperties>
</file>

<file path=docProps/custom.xml><?xml version="1.0" encoding="utf-8"?>
<Properties xmlns="http://schemas.openxmlformats.org/officeDocument/2006/custom-properties" xmlns:vt="http://schemas.openxmlformats.org/officeDocument/2006/docPropsVTypes"/>
</file>