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Department of Insurance Complaint</w:t>
      </w:r>
    </w:p>
    <w:p>
      <w:pPr>
        <w:spacing w:after="120"/>
      </w:pPr>
      <w:r>
        <w:rPr>
          <w:i/>
          <w:iCs/>
          <w:sz w:val="20"/>
          <w:szCs w:val="20"/>
        </w:rPr>
        <w:t xml:space="preserve">Fillable template. Everything highlighted in yellow is yours to replace — 18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claims.professionaldrafter.com/public-adjuster/doi-complaint/</w:t>
      </w:r>
    </w:p>
    <w:p/>
    <w:p>
      <w:pPr>
        <w:pStyle w:val="Heading2"/>
      </w:pPr>
      <w:r>
        <w:t xml:space="preserve">The right department, and the right route</w:t>
      </w:r>
    </w:p>
    <w:p>
      <w:pPr>
        <w:spacing w:after="120"/>
      </w:pPr>
      <w:r>
        <w:rPr>
          <w:i/>
          <w:iCs/>
          <w:sz w:val="18"/>
          <w:szCs w:val="18"/>
        </w:rPr>
        <w:t xml:space="preserve">File with the department that regulates the carrier in the state where the policy was issued or the loss occurred. Every US state, the District of Columbia and the five territories have one, and each runs its own intake. There is no central portal, and a complaint filed in the wrong state gets forwarded at best. Check whether the department requires its own form — many do — because a narrative email into a form-based intake sits unrouted.</w:t>
      </w:r>
    </w:p>
    <w:p>
      <w:pPr>
        <w:spacing w:after="120"/>
      </w:pPr>
      <w:r>
        <w:t xml:space="preserve">Department of Insurance: </w:t>
      </w:r>
      <w:r>
        <w:rPr>
          <w:highlight w:val="yellow"/>
          <w:highlightCs w:val="yellow"/>
        </w:rPr>
        <w:t xml:space="preserve">[ ______________________ ]</w:t>
      </w:r>
    </w:p>
    <w:p>
      <w:pPr>
        <w:spacing w:after="120"/>
      </w:pPr>
      <w:r>
        <w:t xml:space="preserve">State, and why it is the right one: </w:t>
      </w:r>
      <w:r>
        <w:rPr>
          <w:highlight w:val="yellow"/>
          <w:highlightCs w:val="yellow"/>
        </w:rPr>
        <w:t xml:space="preserve">[ ______________________ ]</w:t>
      </w:r>
    </w:p>
    <w:p>
      <w:pPr>
        <w:spacing w:after="120"/>
      </w:pPr>
      <w:r>
        <w:t xml:space="preserve">Intake route: </w:t>
      </w:r>
      <w:r>
        <w:rPr>
          <w:highlight w:val="yellow"/>
          <w:highlightCs w:val="yellow"/>
        </w:rPr>
        <w:t xml:space="preserve">[Online form / prescribed form / post]</w:t>
      </w:r>
    </w:p>
    <w:p>
      <w:pPr>
        <w:spacing w:after="120"/>
      </w:pPr>
      <w:r>
        <w:t xml:space="preserve">Reference number once assigned: </w:t>
      </w:r>
      <w:r>
        <w:rPr>
          <w:highlight w:val="yellow"/>
          <w:highlightCs w:val="yellow"/>
        </w:rPr>
        <w:t xml:space="preserve">[ ______________________ ]</w:t>
      </w:r>
    </w:p>
    <w:p>
      <w:pPr>
        <w:spacing w:after="120"/>
      </w:pPr>
      <w:r>
        <w:rPr>
          <w:highlight w:val="yellow"/>
          <w:highlightCs w:val="yellow"/>
        </w:rPr>
        <w:t xml:space="preserve">[Department; state and basis for it; intake route; whether a prescribed form is required]</w:t>
      </w:r>
    </w:p>
    <w:p/>
    <w:p>
      <w:pPr>
        <w:pStyle w:val="Heading2"/>
      </w:pPr>
      <w:r>
        <w:t xml:space="preserve">Parties, policy and claim</w:t>
      </w:r>
    </w:p>
    <w:p>
      <w:pPr>
        <w:spacing w:after="120"/>
      </w:pPr>
      <w:r>
        <w:rPr>
          <w:i/>
          <w:iCs/>
          <w:sz w:val="18"/>
          <w:szCs w:val="18"/>
        </w:rPr>
        <w:t xml:space="preserve">The carrier's full legal entity name, not the brand — groups write through multiple licensed entities and the complaint index is computed per entity. Take the name from the declarations page. Then the policy number, the claim number, the loss date and location, and who is complaining: the insured, or a public adjuster on their behalf with authority evidenced.</w:t>
      </w:r>
    </w:p>
    <w:p>
      <w:pPr>
        <w:spacing w:after="120"/>
      </w:pPr>
      <w:r>
        <w:t xml:space="preserve">Carrier legal entity name: </w:t>
      </w:r>
      <w:r>
        <w:rPr>
          <w:highlight w:val="yellow"/>
          <w:highlightCs w:val="yellow"/>
        </w:rPr>
        <w:t xml:space="preserve">[From the declarations page — not the brand]</w:t>
      </w:r>
    </w:p>
    <w:p>
      <w:pPr>
        <w:spacing w:after="120"/>
      </w:pPr>
      <w:r>
        <w:t xml:space="preserve">Policy number / claim number: </w:t>
      </w:r>
      <w:r>
        <w:rPr>
          <w:highlight w:val="yellow"/>
          <w:highlightCs w:val="yellow"/>
        </w:rPr>
        <w:t xml:space="preserve">[ ______________________ ]</w:t>
      </w:r>
    </w:p>
    <w:p>
      <w:pPr>
        <w:spacing w:after="120"/>
      </w:pPr>
      <w:r>
        <w:t xml:space="preserve">Date and location of loss: </w:t>
      </w:r>
      <w:r>
        <w:rPr>
          <w:highlight w:val="yellow"/>
          <w:highlightCs w:val="yellow"/>
        </w:rPr>
        <w:t xml:space="preserve">[ ______________________ ]</w:t>
      </w:r>
    </w:p>
    <w:p>
      <w:pPr>
        <w:spacing w:after="120"/>
      </w:pPr>
      <w:r>
        <w:t xml:space="preserve">Complainant and authority: </w:t>
      </w:r>
      <w:r>
        <w:rPr>
          <w:highlight w:val="yellow"/>
          <w:highlightCs w:val="yellow"/>
        </w:rPr>
        <w:t xml:space="preserve">[Insured, or representative with signed authorisation]</w:t>
      </w:r>
    </w:p>
    <w:p>
      <w:pPr>
        <w:spacing w:after="120"/>
      </w:pPr>
      <w:r>
        <w:rPr>
          <w:highlight w:val="yellow"/>
          <w:highlightCs w:val="yellow"/>
        </w:rPr>
        <w:t xml:space="preserve">[Carrier legal entity from the declarations page; policy and claim numbers; loss date and location; complainant and authority]</w:t>
      </w:r>
    </w:p>
    <w:p/>
    <w:p>
      <w:pPr>
        <w:pStyle w:val="Heading2"/>
      </w:pPr>
      <w:r>
        <w:t xml:space="preserve">The allegation, tied to a standard</w:t>
      </w:r>
    </w:p>
    <w:p>
      <w:pPr>
        <w:spacing w:after="120"/>
      </w:pPr>
      <w:r>
        <w:rPr>
          <w:i/>
          <w:iCs/>
          <w:sz w:val="18"/>
          <w:szCs w:val="18"/>
        </w:rPr>
        <w:t xml:space="preserve">State what the carrier did or failed to do, and tie it to the obligation it engages: an acknowledgement period, a requirement to communicate the reasons for delay, a period to accept or deny after proof of loss, a requirement to pay within a period of affirming liability. Cite the state's adopted provision, not a model. This is what separates a complaint that closes confirmed from one that closes as a service grievance.</w:t>
      </w:r>
    </w:p>
    <w:p>
      <w:pPr>
        <w:spacing w:after="120"/>
      </w:pPr>
      <w:r>
        <w:t xml:space="preserve">Conduct complained of: </w:t>
      </w:r>
      <w:r>
        <w:rPr>
          <w:highlight w:val="yellow"/>
          <w:highlightCs w:val="yellow"/>
        </w:rPr>
        <w:t xml:space="preserve">[ ______________________ ]</w:t>
      </w:r>
    </w:p>
    <w:p>
      <w:pPr>
        <w:spacing w:after="120"/>
      </w:pPr>
      <w:r>
        <w:t xml:space="preserve">Obligation engaged: </w:t>
      </w:r>
      <w:r>
        <w:rPr>
          <w:highlight w:val="yellow"/>
          <w:highlightCs w:val="yellow"/>
        </w:rPr>
        <w:t xml:space="preserve">[ ______________________ ]</w:t>
      </w:r>
    </w:p>
    <w:p>
      <w:pPr>
        <w:spacing w:after="120"/>
      </w:pPr>
      <w:r>
        <w:t xml:space="preserve">State provision: </w:t>
      </w:r>
      <w:r>
        <w:rPr>
          <w:highlight w:val="yellow"/>
          <w:highlightCs w:val="yellow"/>
        </w:rPr>
        <w:t xml:space="preserve">[The adopted statute or regulation — not the NAIC model]</w:t>
      </w:r>
    </w:p>
    <w:p>
      <w:pPr>
        <w:spacing w:after="120"/>
      </w:pPr>
      <w:r>
        <w:rPr>
          <w:highlight w:val="yellow"/>
          <w:highlightCs w:val="yellow"/>
        </w:rPr>
        <w:t xml:space="preserve">[What was done or not done; the obligation engaged; the state provision cited]</w:t>
      </w:r>
    </w:p>
    <w:p/>
    <w:p>
      <w:pPr>
        <w:pStyle w:val="Heading2"/>
      </w:pPr>
      <w:r>
        <w:t xml:space="preserve">Chronology</w:t>
      </w:r>
    </w:p>
    <w:p>
      <w:pPr>
        <w:spacing w:after="120"/>
      </w:pPr>
      <w:r>
        <w:rPr>
          <w:i/>
          <w:iCs/>
          <w:sz w:val="18"/>
          <w:szCs w:val="18"/>
        </w:rPr>
        <w:t xml:space="preserve">Dated entries only, each with the document or call it rests on. No characterisation. The chronology is what an analyst reads first, and a clean one lets them see the gap without being told it is unreasonable. Include the carrier's side fairly — a chronology that omits the carrier's two attempts to reach the insured invites the response that supplies them.</w:t>
      </w:r>
    </w:p>
    <w:p>
      <w:pPr>
        <w:spacing w:after="120"/>
      </w:pPr>
      <w:r>
        <w:rPr>
          <w:highlight w:val="yellow"/>
          <w:highlightCs w:val="yellow"/>
        </w:rPr>
        <w:t xml:space="preserve">[Dated chronology, each entry sourced to a document or call record]</w:t>
      </w:r>
    </w:p>
    <w:p>
      <w:pPr>
        <w:pStyle w:val="ListParagraph"/>
        <w:numPr>
          <w:ilvl w:val="0"/>
          <w:numId w:val="1"/>
        </w:numPr>
        <w:spacing w:after="80"/>
      </w:pPr>
      <w:r>
        <w:rPr>
          <w:highlight w:val="yellow"/>
          <w:highlightCs w:val="yellow"/>
        </w:rPr>
        <w:t xml:space="preserve">[Date | What happened | Source]</w:t>
      </w:r>
    </w:p>
    <w:p/>
    <w:p>
      <w:pPr>
        <w:pStyle w:val="Heading2"/>
      </w:pPr>
      <w:r>
        <w:t xml:space="preserve">Documents attached</w:t>
      </w:r>
    </w:p>
    <w:p>
      <w:pPr>
        <w:spacing w:after="120"/>
      </w:pPr>
      <w:r>
        <w:rPr>
          <w:i/>
          <w:iCs/>
          <w:sz w:val="18"/>
          <w:szCs w:val="18"/>
        </w:rPr>
        <w:t xml:space="preserve">Attach what the analyst needs to verify the chronology without asking: the declarations page, the correspondence relied on, the proof of loss and its acknowledgement, the estimates, and any written coverage position. Number them and reference the numbers in the chronology. A complaint that asserts a letter went unanswered and does not attach the letter puts the analyst in the position of taking one side's word.</w:t>
      </w:r>
    </w:p>
    <w:p>
      <w:pPr>
        <w:spacing w:after="120"/>
      </w:pPr>
      <w:r>
        <w:rPr>
          <w:highlight w:val="yellow"/>
          <w:highlightCs w:val="yellow"/>
        </w:rPr>
        <w:t xml:space="preserve">[Numbered exhibits and what each shows]</w:t>
      </w:r>
    </w:p>
    <w:p/>
    <w:p>
      <w:pPr>
        <w:pStyle w:val="Heading2"/>
      </w:pPr>
      <w:r>
        <w:t xml:space="preserve">Resolution sought, and what is not being asked</w:t>
      </w:r>
    </w:p>
    <w:p>
      <w:pPr>
        <w:spacing w:after="120"/>
      </w:pPr>
      <w:r>
        <w:rPr>
          <w:i/>
          <w:iCs/>
          <w:sz w:val="18"/>
          <w:szCs w:val="18"/>
        </w:rPr>
        <w:t xml:space="preserve">Ask for something the regulator can actually produce: a written position on the claim, compliance with a period, a response to correspondence. Say expressly what is not being asked — the department is not being asked to determine the amount of the loss, which is what appraisal is for, nor to award damages. A complaint that asks the regulator to make the carrier pay a number invites a reply explaining what the department does not do, and closes there.</w:t>
      </w:r>
    </w:p>
    <w:p>
      <w:pPr>
        <w:spacing w:after="120"/>
      </w:pPr>
      <w:r>
        <w:rPr>
          <w:highlight w:val="yellow"/>
          <w:highlightCs w:val="yellow"/>
        </w:rPr>
        <w:t xml:space="preserve">[What is requested; what is expressly not requested]</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 complaint on a different matter from Harbour Lane — a hail claim where the carrier went eleven weeks without a decision after a sworn proof of loss and stopped responding. Filed 14 September 2026. This example is not from the Okonjo file, where the carrier's handling gave no grounds for one.</w:t>
      </w:r>
    </w:p>
    <w:p/>
    <w:p>
      <w:pPr>
        <w:pStyle w:val="Heading2"/>
      </w:pPr>
      <w:r>
        <w:t xml:space="preserve">The right department, and the parties</w:t>
      </w:r>
    </w:p>
    <w:p>
      <w:pPr>
        <w:spacing w:after="120"/>
      </w:pPr>
      <w:r>
        <w:t xml:space="preserve">Filed with: the Department of Insurance for the state in which the policy was issued and the loss occurred, through its online consumer complaint form. The department's intake requires its own form; an earlier draft prepared as a letter was not sent, because a narrative letter into a form-based intake gets re-keyed at best.</w:t>
      </w:r>
    </w:p>
    <w:p/>
    <w:p>
      <w:pPr>
        <w:spacing w:after="120"/>
      </w:pPr>
      <w:r>
        <w:t xml:space="preserve">There is no national alternative. The NAIC does not operate a complaint portal and routes consumers to their own state department, so a complaint 'to the NAIC' does not exist as a thing that can be filed.</w:t>
      </w:r>
    </w:p>
    <w:p/>
    <w:p>
      <w:pPr>
        <w:spacing w:after="120"/>
      </w:pPr>
      <w:r>
        <w:t xml:space="preserve">Carrier: [Carrier] Property and Casualty Insurance Company — the legal entity named on the declarations page, not the group brand under which the policy was sold. The complaint index is computed per licensed entity, so naming the brand can attach the record to the wrong company or to none.</w:t>
      </w:r>
    </w:p>
    <w:p/>
    <w:p>
      <w:pPr>
        <w:spacing w:after="120"/>
      </w:pPr>
      <w:r>
        <w:t xml:space="preserve">Policy: HO-2210548. Claim: PC-2026-10993.</w:t>
      </w:r>
    </w:p>
    <w:p>
      <w:pPr>
        <w:spacing w:after="120"/>
      </w:pPr>
      <w:r>
        <w:t xml:space="preserve">Loss: hail and wind, 12 May 2026, [address].</w:t>
      </w:r>
    </w:p>
    <w:p>
      <w:pPr>
        <w:spacing w:after="120"/>
      </w:pPr>
      <w:r>
        <w:t xml:space="preserve">Complainant: M. Adeyemi, insured. Filed by T. Halvorsen, public adjuster licence PA-118427, with the insured's signed authorisation attached as exhibit 1.</w:t>
      </w:r>
    </w:p>
    <w:p>
      <w:pPr>
        <w:spacing w:after="120"/>
      </w:pPr>
      <w:r>
        <w:t xml:space="preserve">Reference assigned by the department on filing: [ref].</w:t>
      </w:r>
    </w:p>
    <w:p/>
    <w:p>
      <w:pPr>
        <w:pStyle w:val="Heading2"/>
      </w:pPr>
      <w:r>
        <w:t xml:space="preserve">The allegation, tied to a standard</w:t>
      </w:r>
    </w:p>
    <w:p>
      <w:pPr>
        <w:spacing w:after="120"/>
      </w:pPr>
      <w:r>
        <w:t xml:space="preserve">Allegation: the carrier has failed to accept or deny the claim, or to communicate the reasons for the continuing delay, in the period following receipt of a sworn proof of loss.</w:t>
      </w:r>
    </w:p>
    <w:p/>
    <w:p>
      <w:pPr>
        <w:spacing w:after="120"/>
      </w:pPr>
      <w:r>
        <w:t xml:space="preserve">Specifically: a sworn proof of loss was furnished on 26 June 2026 and acknowledged by the carrier on 30 June 2026. As at the date of this complaint, 14 September 2026 — eleven weeks later — the insured has received no acceptance, no denial, and no written statement of the reasons for the delay or of what further information is required.</w:t>
      </w:r>
    </w:p>
    <w:p/>
    <w:p>
      <w:pPr>
        <w:spacing w:after="120"/>
      </w:pPr>
      <w:r>
        <w:t xml:space="preserve">Obligation engaged: the state's adopted claim-handling regulation requires an insurer to accept or deny a claim within a stated period following receipt of a proof of loss, and where a decision is not reached within that period, to notify the insured in writing of the reasons for the delay and of the additional information required, repeating that notification at stated intervals. Cited here to the state's own provision at [state citation], not to the NAIC model, which binds nobody.</w:t>
      </w:r>
    </w:p>
    <w:p/>
    <w:p>
      <w:pPr>
        <w:spacing w:after="120"/>
      </w:pPr>
      <w:r>
        <w:t xml:space="preserve">That framing is deliberate. 'The carrier has been unresponsive and unprofessional' is a service grievance and closes unconfirmed. 'No decision and no delay notice in eleven weeks after an acknowledged proof of loss, contrary to [provision]' is a checkable allegation against a standard, and an analyst can confirm or reject it from the documents attached.</w:t>
      </w:r>
    </w:p>
    <w:p/>
    <w:p>
      <w:pPr>
        <w:pStyle w:val="Heading2"/>
      </w:pPr>
      <w:r>
        <w:t xml:space="preserve">Chronology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Mar>
              <w:top w:type="dxa" w:w="60"/>
              <w:left w:type="dxa" w:w="100"/>
              <w:bottom w:type="dxa" w:w="60"/>
              <w:right w:type="dxa" w:w="100"/>
            </w:tcMar>
          </w:tcPr>
          <w:p>
            <w:pPr>
              <w:spacing w:after="0"/>
            </w:pPr>
            <w:r>
              <w:rPr>
                <w:sz w:val="19"/>
                <w:szCs w:val="19"/>
              </w:rPr>
              <w:t xml:space="preserve">Date</w:t>
            </w:r>
          </w:p>
        </w:tc>
        <w:tc>
          <w:tcPr>
            <w:tcMar>
              <w:top w:type="dxa" w:w="60"/>
              <w:left w:type="dxa" w:w="100"/>
              <w:bottom w:type="dxa" w:w="60"/>
              <w:right w:type="dxa" w:w="100"/>
            </w:tcMar>
          </w:tcPr>
          <w:p>
            <w:pPr>
              <w:spacing w:after="0"/>
            </w:pPr>
            <w:r>
              <w:rPr>
                <w:sz w:val="19"/>
                <w:szCs w:val="19"/>
              </w:rPr>
              <w:t xml:space="preserve">What happened</w:t>
            </w:r>
          </w:p>
        </w:tc>
        <w:tc>
          <w:tcPr>
            <w:tcMar>
              <w:top w:type="dxa" w:w="60"/>
              <w:left w:type="dxa" w:w="100"/>
              <w:bottom w:type="dxa" w:w="60"/>
              <w:right w:type="dxa" w:w="100"/>
            </w:tcMar>
          </w:tcPr>
          <w:p>
            <w:pPr>
              <w:spacing w:after="0"/>
            </w:pPr>
            <w:r>
              <w:rPr>
                <w:sz w:val="19"/>
                <w:szCs w:val="19"/>
              </w:rPr>
              <w:t xml:space="preserve">Source</w:t>
            </w:r>
          </w:p>
        </w:tc>
      </w:tr>
      <w:tr>
        <w:trPr>
          <w:tblHeader w:val="false"/>
        </w:trPr>
        <w:tc>
          <w:tcPr>
            <w:tcMar>
              <w:top w:type="dxa" w:w="60"/>
              <w:left w:type="dxa" w:w="100"/>
              <w:bottom w:type="dxa" w:w="60"/>
              <w:right w:type="dxa" w:w="100"/>
            </w:tcMar>
          </w:tcPr>
          <w:p>
            <w:pPr>
              <w:spacing w:after="0"/>
            </w:pPr>
            <w:r>
              <w:rPr>
                <w:sz w:val="19"/>
                <w:szCs w:val="19"/>
              </w:rPr>
              <w:t xml:space="preserve">12 May 2026</w:t>
            </w:r>
          </w:p>
        </w:tc>
        <w:tc>
          <w:tcPr>
            <w:tcMar>
              <w:top w:type="dxa" w:w="60"/>
              <w:left w:type="dxa" w:w="100"/>
              <w:bottom w:type="dxa" w:w="60"/>
              <w:right w:type="dxa" w:w="100"/>
            </w:tcMar>
          </w:tcPr>
          <w:p>
            <w:pPr>
              <w:spacing w:after="0"/>
            </w:pPr>
            <w:r>
              <w:rPr>
                <w:sz w:val="19"/>
                <w:szCs w:val="19"/>
              </w:rPr>
              <w:t xml:space="preserve">Date of loss — hail and wind</w:t>
            </w:r>
          </w:p>
        </w:tc>
        <w:tc>
          <w:tcPr>
            <w:tcMar>
              <w:top w:type="dxa" w:w="60"/>
              <w:left w:type="dxa" w:w="100"/>
              <w:bottom w:type="dxa" w:w="60"/>
              <w:right w:type="dxa" w:w="100"/>
            </w:tcMar>
          </w:tcPr>
          <w:p>
            <w:pPr>
              <w:spacing w:after="0"/>
            </w:pPr>
            <w:r>
              <w:rPr>
                <w:sz w:val="19"/>
                <w:szCs w:val="19"/>
              </w:rPr>
              <w:t xml:space="preserve">NOAA storm report, exhibit 2</w:t>
            </w:r>
          </w:p>
        </w:tc>
      </w:tr>
      <w:tr>
        <w:trPr>
          <w:tblHeader w:val="false"/>
        </w:trPr>
        <w:tc>
          <w:tcPr>
            <w:tcMar>
              <w:top w:type="dxa" w:w="60"/>
              <w:left w:type="dxa" w:w="100"/>
              <w:bottom w:type="dxa" w:w="60"/>
              <w:right w:type="dxa" w:w="100"/>
            </w:tcMar>
          </w:tcPr>
          <w:p>
            <w:pPr>
              <w:spacing w:after="0"/>
            </w:pPr>
            <w:r>
              <w:rPr>
                <w:sz w:val="19"/>
                <w:szCs w:val="19"/>
              </w:rPr>
              <w:t xml:space="preserve">14 May 2026</w:t>
            </w:r>
          </w:p>
        </w:tc>
        <w:tc>
          <w:tcPr>
            <w:tcMar>
              <w:top w:type="dxa" w:w="60"/>
              <w:left w:type="dxa" w:w="100"/>
              <w:bottom w:type="dxa" w:w="60"/>
              <w:right w:type="dxa" w:w="100"/>
            </w:tcMar>
          </w:tcPr>
          <w:p>
            <w:pPr>
              <w:spacing w:after="0"/>
            </w:pPr>
            <w:r>
              <w:rPr>
                <w:sz w:val="19"/>
                <w:szCs w:val="19"/>
              </w:rPr>
              <w:t xml:space="preserve">Claim reported by telephone</w:t>
            </w:r>
          </w:p>
        </w:tc>
        <w:tc>
          <w:tcPr>
            <w:tcMar>
              <w:top w:type="dxa" w:w="60"/>
              <w:left w:type="dxa" w:w="100"/>
              <w:bottom w:type="dxa" w:w="60"/>
              <w:right w:type="dxa" w:w="100"/>
            </w:tcMar>
          </w:tcPr>
          <w:p>
            <w:pPr>
              <w:spacing w:after="0"/>
            </w:pPr>
            <w:r>
              <w:rPr>
                <w:sz w:val="19"/>
                <w:szCs w:val="19"/>
              </w:rPr>
              <w:t xml:space="preserve">Carrier acknowledgement email, exhibit 3</w:t>
            </w:r>
          </w:p>
        </w:tc>
      </w:tr>
      <w:tr>
        <w:trPr>
          <w:tblHeader w:val="false"/>
        </w:trPr>
        <w:tc>
          <w:tcPr>
            <w:tcMar>
              <w:top w:type="dxa" w:w="60"/>
              <w:left w:type="dxa" w:w="100"/>
              <w:bottom w:type="dxa" w:w="60"/>
              <w:right w:type="dxa" w:w="100"/>
            </w:tcMar>
          </w:tcPr>
          <w:p>
            <w:pPr>
              <w:spacing w:after="0"/>
            </w:pPr>
            <w:r>
              <w:rPr>
                <w:sz w:val="19"/>
                <w:szCs w:val="19"/>
              </w:rPr>
              <w:t xml:space="preserve">21 May 2026</w:t>
            </w:r>
          </w:p>
        </w:tc>
        <w:tc>
          <w:tcPr>
            <w:tcMar>
              <w:top w:type="dxa" w:w="60"/>
              <w:left w:type="dxa" w:w="100"/>
              <w:bottom w:type="dxa" w:w="60"/>
              <w:right w:type="dxa" w:w="100"/>
            </w:tcMar>
          </w:tcPr>
          <w:p>
            <w:pPr>
              <w:spacing w:after="0"/>
            </w:pPr>
            <w:r>
              <w:rPr>
                <w:sz w:val="19"/>
                <w:szCs w:val="19"/>
              </w:rPr>
              <w:t xml:space="preserve">Carrier inspection by staff adjuster</w:t>
            </w:r>
          </w:p>
        </w:tc>
        <w:tc>
          <w:tcPr>
            <w:tcMar>
              <w:top w:type="dxa" w:w="60"/>
              <w:left w:type="dxa" w:w="100"/>
              <w:bottom w:type="dxa" w:w="60"/>
              <w:right w:type="dxa" w:w="100"/>
            </w:tcMar>
          </w:tcPr>
          <w:p>
            <w:pPr>
              <w:spacing w:after="0"/>
            </w:pPr>
            <w:r>
              <w:rPr>
                <w:sz w:val="19"/>
                <w:szCs w:val="19"/>
              </w:rPr>
              <w:t xml:space="preserve">Inspection confirmation, exhibit 4</w:t>
            </w:r>
          </w:p>
        </w:tc>
      </w:tr>
      <w:tr>
        <w:trPr>
          <w:tblHeader w:val="false"/>
        </w:trPr>
        <w:tc>
          <w:tcPr>
            <w:tcMar>
              <w:top w:type="dxa" w:w="60"/>
              <w:left w:type="dxa" w:w="100"/>
              <w:bottom w:type="dxa" w:w="60"/>
              <w:right w:type="dxa" w:w="100"/>
            </w:tcMar>
          </w:tcPr>
          <w:p>
            <w:pPr>
              <w:spacing w:after="0"/>
            </w:pPr>
            <w:r>
              <w:rPr>
                <w:sz w:val="19"/>
                <w:szCs w:val="19"/>
              </w:rPr>
              <w:t xml:space="preserve">2 Jun 2026</w:t>
            </w:r>
          </w:p>
        </w:tc>
        <w:tc>
          <w:tcPr>
            <w:tcMar>
              <w:top w:type="dxa" w:w="60"/>
              <w:left w:type="dxa" w:w="100"/>
              <w:bottom w:type="dxa" w:w="60"/>
              <w:right w:type="dxa" w:w="100"/>
            </w:tcMar>
          </w:tcPr>
          <w:p>
            <w:pPr>
              <w:spacing w:after="0"/>
            </w:pPr>
            <w:r>
              <w:rPr>
                <w:sz w:val="19"/>
                <w:szCs w:val="19"/>
              </w:rPr>
              <w:t xml:space="preserve">Carrier requested contractor documentation</w:t>
            </w:r>
          </w:p>
        </w:tc>
        <w:tc>
          <w:tcPr>
            <w:tcMar>
              <w:top w:type="dxa" w:w="60"/>
              <w:left w:type="dxa" w:w="100"/>
              <w:bottom w:type="dxa" w:w="60"/>
              <w:right w:type="dxa" w:w="100"/>
            </w:tcMar>
          </w:tcPr>
          <w:p>
            <w:pPr>
              <w:spacing w:after="0"/>
            </w:pPr>
            <w:r>
              <w:rPr>
                <w:sz w:val="19"/>
                <w:szCs w:val="19"/>
              </w:rPr>
              <w:t xml:space="preserve">Carrier email, exhibit 5</w:t>
            </w:r>
          </w:p>
        </w:tc>
      </w:tr>
      <w:tr>
        <w:trPr>
          <w:tblHeader w:val="false"/>
        </w:trPr>
        <w:tc>
          <w:tcPr>
            <w:tcMar>
              <w:top w:type="dxa" w:w="60"/>
              <w:left w:type="dxa" w:w="100"/>
              <w:bottom w:type="dxa" w:w="60"/>
              <w:right w:type="dxa" w:w="100"/>
            </w:tcMar>
          </w:tcPr>
          <w:p>
            <w:pPr>
              <w:spacing w:after="0"/>
            </w:pPr>
            <w:r>
              <w:rPr>
                <w:sz w:val="19"/>
                <w:szCs w:val="19"/>
              </w:rPr>
              <w:t xml:space="preserve">9 Jun 2026</w:t>
            </w:r>
          </w:p>
        </w:tc>
        <w:tc>
          <w:tcPr>
            <w:tcMar>
              <w:top w:type="dxa" w:w="60"/>
              <w:left w:type="dxa" w:w="100"/>
              <w:bottom w:type="dxa" w:w="60"/>
              <w:right w:type="dxa" w:w="100"/>
            </w:tcMar>
          </w:tcPr>
          <w:p>
            <w:pPr>
              <w:spacing w:after="0"/>
            </w:pPr>
            <w:r>
              <w:rPr>
                <w:sz w:val="19"/>
                <w:szCs w:val="19"/>
              </w:rPr>
              <w:t xml:space="preserve">Insured supplied contractor scope and photographs</w:t>
            </w:r>
          </w:p>
        </w:tc>
        <w:tc>
          <w:tcPr>
            <w:tcMar>
              <w:top w:type="dxa" w:w="60"/>
              <w:left w:type="dxa" w:w="100"/>
              <w:bottom w:type="dxa" w:w="60"/>
              <w:right w:type="dxa" w:w="100"/>
            </w:tcMar>
          </w:tcPr>
          <w:p>
            <w:pPr>
              <w:spacing w:after="0"/>
            </w:pPr>
            <w:r>
              <w:rPr>
                <w:sz w:val="19"/>
                <w:szCs w:val="19"/>
              </w:rPr>
              <w:t xml:space="preserve">Insured email with delivery receipt, exhibit 6</w:t>
            </w:r>
          </w:p>
        </w:tc>
      </w:tr>
      <w:tr>
        <w:trPr>
          <w:tblHeader w:val="false"/>
        </w:trPr>
        <w:tc>
          <w:tcPr>
            <w:tcMar>
              <w:top w:type="dxa" w:w="60"/>
              <w:left w:type="dxa" w:w="100"/>
              <w:bottom w:type="dxa" w:w="60"/>
              <w:right w:type="dxa" w:w="100"/>
            </w:tcMar>
          </w:tcPr>
          <w:p>
            <w:pPr>
              <w:spacing w:after="0"/>
            </w:pPr>
            <w:r>
              <w:rPr>
                <w:sz w:val="19"/>
                <w:szCs w:val="19"/>
              </w:rPr>
              <w:t xml:space="preserve">26 Jun 2026</w:t>
            </w:r>
          </w:p>
        </w:tc>
        <w:tc>
          <w:tcPr>
            <w:tcMar>
              <w:top w:type="dxa" w:w="60"/>
              <w:left w:type="dxa" w:w="100"/>
              <w:bottom w:type="dxa" w:w="60"/>
              <w:right w:type="dxa" w:w="100"/>
            </w:tcMar>
          </w:tcPr>
          <w:p>
            <w:pPr>
              <w:spacing w:after="0"/>
            </w:pPr>
            <w:r>
              <w:rPr>
                <w:sz w:val="19"/>
                <w:szCs w:val="19"/>
              </w:rPr>
              <w:t xml:space="preserve">Sworn proof of loss furnished</w:t>
            </w:r>
          </w:p>
        </w:tc>
        <w:tc>
          <w:tcPr>
            <w:tcMar>
              <w:top w:type="dxa" w:w="60"/>
              <w:left w:type="dxa" w:w="100"/>
              <w:bottom w:type="dxa" w:w="60"/>
              <w:right w:type="dxa" w:w="100"/>
            </w:tcMar>
          </w:tcPr>
          <w:p>
            <w:pPr>
              <w:spacing w:after="0"/>
            </w:pPr>
            <w:r>
              <w:rPr>
                <w:sz w:val="19"/>
                <w:szCs w:val="19"/>
              </w:rPr>
              <w:t xml:space="preserve">Signed and notarised POL, exhibit 7</w:t>
            </w:r>
          </w:p>
        </w:tc>
      </w:tr>
      <w:tr>
        <w:trPr>
          <w:tblHeader w:val="false"/>
        </w:trPr>
        <w:tc>
          <w:tcPr>
            <w:tcMar>
              <w:top w:type="dxa" w:w="60"/>
              <w:left w:type="dxa" w:w="100"/>
              <w:bottom w:type="dxa" w:w="60"/>
              <w:right w:type="dxa" w:w="100"/>
            </w:tcMar>
          </w:tcPr>
          <w:p>
            <w:pPr>
              <w:spacing w:after="0"/>
            </w:pPr>
            <w:r>
              <w:rPr>
                <w:sz w:val="19"/>
                <w:szCs w:val="19"/>
              </w:rPr>
              <w:t xml:space="preserve">30 Jun 2026</w:t>
            </w:r>
          </w:p>
        </w:tc>
        <w:tc>
          <w:tcPr>
            <w:tcMar>
              <w:top w:type="dxa" w:w="60"/>
              <w:left w:type="dxa" w:w="100"/>
              <w:bottom w:type="dxa" w:w="60"/>
              <w:right w:type="dxa" w:w="100"/>
            </w:tcMar>
          </w:tcPr>
          <w:p>
            <w:pPr>
              <w:spacing w:after="0"/>
            </w:pPr>
            <w:r>
              <w:rPr>
                <w:sz w:val="19"/>
                <w:szCs w:val="19"/>
              </w:rPr>
              <w:t xml:space="preserve">Carrier acknowledged receipt of proof of loss</w:t>
            </w:r>
          </w:p>
        </w:tc>
        <w:tc>
          <w:tcPr>
            <w:tcMar>
              <w:top w:type="dxa" w:w="60"/>
              <w:left w:type="dxa" w:w="100"/>
              <w:bottom w:type="dxa" w:w="60"/>
              <w:right w:type="dxa" w:w="100"/>
            </w:tcMar>
          </w:tcPr>
          <w:p>
            <w:pPr>
              <w:spacing w:after="0"/>
            </w:pPr>
            <w:r>
              <w:rPr>
                <w:sz w:val="19"/>
                <w:szCs w:val="19"/>
              </w:rPr>
              <w:t xml:space="preserve">Carrier email, exhibit 8</w:t>
            </w:r>
          </w:p>
        </w:tc>
      </w:tr>
      <w:tr>
        <w:trPr>
          <w:tblHeader w:val="false"/>
        </w:trPr>
        <w:tc>
          <w:tcPr>
            <w:tcMar>
              <w:top w:type="dxa" w:w="60"/>
              <w:left w:type="dxa" w:w="100"/>
              <w:bottom w:type="dxa" w:w="60"/>
              <w:right w:type="dxa" w:w="100"/>
            </w:tcMar>
          </w:tcPr>
          <w:p>
            <w:pPr>
              <w:spacing w:after="0"/>
            </w:pPr>
            <w:r>
              <w:rPr>
                <w:sz w:val="19"/>
                <w:szCs w:val="19"/>
              </w:rPr>
              <w:t xml:space="preserve">17 Jul 2026</w:t>
            </w:r>
          </w:p>
        </w:tc>
        <w:tc>
          <w:tcPr>
            <w:tcMar>
              <w:top w:type="dxa" w:w="60"/>
              <w:left w:type="dxa" w:w="100"/>
              <w:bottom w:type="dxa" w:w="60"/>
              <w:right w:type="dxa" w:w="100"/>
            </w:tcMar>
          </w:tcPr>
          <w:p>
            <w:pPr>
              <w:spacing w:after="0"/>
            </w:pPr>
            <w:r>
              <w:rPr>
                <w:sz w:val="19"/>
                <w:szCs w:val="19"/>
              </w:rPr>
              <w:t xml:space="preserve">Insured requested status</w:t>
            </w:r>
          </w:p>
        </w:tc>
        <w:tc>
          <w:tcPr>
            <w:tcMar>
              <w:top w:type="dxa" w:w="60"/>
              <w:left w:type="dxa" w:w="100"/>
              <w:bottom w:type="dxa" w:w="60"/>
              <w:right w:type="dxa" w:w="100"/>
            </w:tcMar>
          </w:tcPr>
          <w:p>
            <w:pPr>
              <w:spacing w:after="0"/>
            </w:pPr>
            <w:r>
              <w:rPr>
                <w:sz w:val="19"/>
                <w:szCs w:val="19"/>
              </w:rPr>
              <w:t xml:space="preserve">Insured email, exhibit 9</w:t>
            </w:r>
          </w:p>
        </w:tc>
      </w:tr>
      <w:tr>
        <w:trPr>
          <w:tblHeader w:val="false"/>
        </w:trPr>
        <w:tc>
          <w:tcPr>
            <w:tcMar>
              <w:top w:type="dxa" w:w="60"/>
              <w:left w:type="dxa" w:w="100"/>
              <w:bottom w:type="dxa" w:w="60"/>
              <w:right w:type="dxa" w:w="100"/>
            </w:tcMar>
          </w:tcPr>
          <w:p>
            <w:pPr>
              <w:spacing w:after="0"/>
            </w:pPr>
            <w:r>
              <w:rPr>
                <w:sz w:val="19"/>
                <w:szCs w:val="19"/>
              </w:rPr>
              <w:t xml:space="preserve">4 Aug 2026</w:t>
            </w:r>
          </w:p>
        </w:tc>
        <w:tc>
          <w:tcPr>
            <w:tcMar>
              <w:top w:type="dxa" w:w="60"/>
              <w:left w:type="dxa" w:w="100"/>
              <w:bottom w:type="dxa" w:w="60"/>
              <w:right w:type="dxa" w:w="100"/>
            </w:tcMar>
          </w:tcPr>
          <w:p>
            <w:pPr>
              <w:spacing w:after="0"/>
            </w:pPr>
            <w:r>
              <w:rPr>
                <w:sz w:val="19"/>
                <w:szCs w:val="19"/>
              </w:rPr>
              <w:t xml:space="preserve">Insured requested status again</w:t>
            </w:r>
          </w:p>
        </w:tc>
        <w:tc>
          <w:tcPr>
            <w:tcMar>
              <w:top w:type="dxa" w:w="60"/>
              <w:left w:type="dxa" w:w="100"/>
              <w:bottom w:type="dxa" w:w="60"/>
              <w:right w:type="dxa" w:w="100"/>
            </w:tcMar>
          </w:tcPr>
          <w:p>
            <w:pPr>
              <w:spacing w:after="0"/>
            </w:pPr>
            <w:r>
              <w:rPr>
                <w:sz w:val="19"/>
                <w:szCs w:val="19"/>
              </w:rPr>
              <w:t xml:space="preserve">Insured email, exhibit 10</w:t>
            </w:r>
          </w:p>
        </w:tc>
      </w:tr>
      <w:tr>
        <w:trPr>
          <w:tblHeader w:val="false"/>
        </w:trPr>
        <w:tc>
          <w:tcPr>
            <w:tcMar>
              <w:top w:type="dxa" w:w="60"/>
              <w:left w:type="dxa" w:w="100"/>
              <w:bottom w:type="dxa" w:w="60"/>
              <w:right w:type="dxa" w:w="100"/>
            </w:tcMar>
          </w:tcPr>
          <w:p>
            <w:pPr>
              <w:spacing w:after="0"/>
            </w:pPr>
            <w:r>
              <w:rPr>
                <w:sz w:val="19"/>
                <w:szCs w:val="19"/>
              </w:rPr>
              <w:t xml:space="preserve">11 Aug 2026</w:t>
            </w:r>
          </w:p>
        </w:tc>
        <w:tc>
          <w:tcPr>
            <w:tcMar>
              <w:top w:type="dxa" w:w="60"/>
              <w:left w:type="dxa" w:w="100"/>
              <w:bottom w:type="dxa" w:w="60"/>
              <w:right w:type="dxa" w:w="100"/>
            </w:tcMar>
          </w:tcPr>
          <w:p>
            <w:pPr>
              <w:spacing w:after="0"/>
            </w:pPr>
            <w:r>
              <w:rPr>
                <w:sz w:val="19"/>
                <w:szCs w:val="19"/>
              </w:rPr>
              <w:t xml:space="preserve">Carrier called insured; said file was 'with review'</w:t>
            </w:r>
          </w:p>
        </w:tc>
        <w:tc>
          <w:tcPr>
            <w:tcMar>
              <w:top w:type="dxa" w:w="60"/>
              <w:left w:type="dxa" w:w="100"/>
              <w:bottom w:type="dxa" w:w="60"/>
              <w:right w:type="dxa" w:w="100"/>
            </w:tcMar>
          </w:tcPr>
          <w:p>
            <w:pPr>
              <w:spacing w:after="0"/>
            </w:pPr>
            <w:r>
              <w:rPr>
                <w:sz w:val="19"/>
                <w:szCs w:val="19"/>
              </w:rPr>
              <w:t xml:space="preserve">Insured's contemporaneous note, exhibit 11</w:t>
            </w:r>
          </w:p>
        </w:tc>
      </w:tr>
      <w:tr>
        <w:trPr>
          <w:tblHeader w:val="false"/>
        </w:trPr>
        <w:tc>
          <w:tcPr>
            <w:tcMar>
              <w:top w:type="dxa" w:w="60"/>
              <w:left w:type="dxa" w:w="100"/>
              <w:bottom w:type="dxa" w:w="60"/>
              <w:right w:type="dxa" w:w="100"/>
            </w:tcMar>
          </w:tcPr>
          <w:p>
            <w:pPr>
              <w:spacing w:after="0"/>
            </w:pPr>
            <w:r>
              <w:rPr>
                <w:sz w:val="19"/>
                <w:szCs w:val="19"/>
              </w:rPr>
              <w:t xml:space="preserve">26 Aug 2026</w:t>
            </w:r>
          </w:p>
        </w:tc>
        <w:tc>
          <w:tcPr>
            <w:tcMar>
              <w:top w:type="dxa" w:w="60"/>
              <w:left w:type="dxa" w:w="100"/>
              <w:bottom w:type="dxa" w:w="60"/>
              <w:right w:type="dxa" w:w="100"/>
            </w:tcMar>
          </w:tcPr>
          <w:p>
            <w:pPr>
              <w:spacing w:after="0"/>
            </w:pPr>
            <w:r>
              <w:rPr>
                <w:sz w:val="19"/>
                <w:szCs w:val="19"/>
              </w:rPr>
              <w:t xml:space="preserve">Public adjuster wrote requesting written position within 10 days</w:t>
            </w:r>
          </w:p>
        </w:tc>
        <w:tc>
          <w:tcPr>
            <w:tcMar>
              <w:top w:type="dxa" w:w="60"/>
              <w:left w:type="dxa" w:w="100"/>
              <w:bottom w:type="dxa" w:w="60"/>
              <w:right w:type="dxa" w:w="100"/>
            </w:tcMar>
          </w:tcPr>
          <w:p>
            <w:pPr>
              <w:spacing w:after="0"/>
            </w:pPr>
            <w:r>
              <w:rPr>
                <w:sz w:val="19"/>
                <w:szCs w:val="19"/>
              </w:rPr>
              <w:t xml:space="preserve">Letter with proof of delivery, exhibit 12</w:t>
            </w:r>
          </w:p>
        </w:tc>
      </w:tr>
      <w:tr>
        <w:trPr>
          <w:tblHeader w:val="false"/>
        </w:trPr>
        <w:tc>
          <w:tcPr>
            <w:tcMar>
              <w:top w:type="dxa" w:w="60"/>
              <w:left w:type="dxa" w:w="100"/>
              <w:bottom w:type="dxa" w:w="60"/>
              <w:right w:type="dxa" w:w="100"/>
            </w:tcMar>
          </w:tcPr>
          <w:p>
            <w:pPr>
              <w:spacing w:after="0"/>
            </w:pPr>
            <w:r>
              <w:rPr>
                <w:sz w:val="19"/>
                <w:szCs w:val="19"/>
              </w:rPr>
              <w:t xml:space="preserve">14 Sep 2026</w:t>
            </w:r>
          </w:p>
        </w:tc>
        <w:tc>
          <w:tcPr>
            <w:tcMar>
              <w:top w:type="dxa" w:w="60"/>
              <w:left w:type="dxa" w:w="100"/>
              <w:bottom w:type="dxa" w:w="60"/>
              <w:right w:type="dxa" w:w="100"/>
            </w:tcMar>
          </w:tcPr>
          <w:p>
            <w:pPr>
              <w:spacing w:after="0"/>
            </w:pPr>
            <w:r>
              <w:rPr>
                <w:sz w:val="19"/>
                <w:szCs w:val="19"/>
              </w:rPr>
              <w:t xml:space="preserve">No response received. Complaint filed</w:t>
            </w:r>
          </w:p>
        </w:tc>
        <w:tc>
          <w:tcPr>
            <w:tcMar>
              <w:top w:type="dxa" w:w="60"/>
              <w:left w:type="dxa" w:w="100"/>
              <w:bottom w:type="dxa" w:w="60"/>
              <w:right w:type="dxa" w:w="100"/>
            </w:tcMar>
          </w:tcPr>
          <w:p>
            <w:pPr>
              <w:spacing w:after="0"/>
            </w:pPr>
            <w:r>
              <w:rPr>
                <w:sz w:val="19"/>
                <w:szCs w:val="19"/>
              </w:rPr>
              <w:t xml:space="preserve">—</w:t>
            </w:r>
          </w:p>
        </w:tc>
      </w:tr>
    </w:tbl>
    <w:p/>
    <w:p>
      <w:pPr>
        <w:spacing w:after="120"/>
      </w:pPr>
      <w:r>
        <w:t xml:space="preserve">Two entries favour the carrier and are included: the 21 May inspection was prompt, nine days from report, and the 2 June documentation request was reasonable and answered within a week. A chronology that omits them invites a response that supplies them and reframes the whole complaint as one-sided.</w:t>
      </w:r>
    </w:p>
    <w:p/>
    <w:p>
      <w:pPr>
        <w:spacing w:after="120"/>
      </w:pPr>
      <w:r>
        <w:t xml:space="preserve">The 11 August call is recorded as a contemporaneous note rather than as a carrier record, and labelled as such, because it is the insured's account of a call the carrier has not confirmed.</w:t>
      </w:r>
    </w:p>
    <w:p/>
    <w:p>
      <w:pPr>
        <w:pStyle w:val="Heading2"/>
      </w:pPr>
      <w:r>
        <w:t xml:space="preserve">Documents attached, and resolution sought</w:t>
      </w:r>
    </w:p>
    <w:p>
      <w:pPr>
        <w:spacing w:after="120"/>
      </w:pPr>
      <w:r>
        <w:t xml:space="preserve">Exhibits 1-12 as referenced above, plus:</w:t>
      </w:r>
    </w:p>
    <w:p>
      <w:pPr>
        <w:spacing w:after="120"/>
      </w:pPr>
      <w:r>
        <w:t xml:space="preserve">13. Declarations page showing the carrier's legal entity name and coverage in force on 12 May 2026.</w:t>
      </w:r>
    </w:p>
    <w:p>
      <w:pPr>
        <w:spacing w:after="120"/>
      </w:pPr>
      <w:r>
        <w:t xml:space="preserve">14. The carrier's estimate of 28 May 2026.</w:t>
      </w:r>
    </w:p>
    <w:p>
      <w:pPr>
        <w:spacing w:after="120"/>
      </w:pPr>
      <w:r>
        <w:t xml:space="preserve">15. The insured's contractor scope of 8 June 2026.</w:t>
      </w:r>
    </w:p>
    <w:p/>
    <w:p>
      <w:pPr>
        <w:spacing w:after="120"/>
      </w:pPr>
      <w:r>
        <w:t xml:space="preserve">Exhibits 7 and 8 are the two that decide this complaint: the proof of loss and the carrier's own written acknowledgement of receiving it. Everything else is context. An analyst can establish the start date and the elapsed period from those two documents without relying on either party's characterisation, which is what makes the allegation confirmable.</w:t>
      </w:r>
    </w:p>
    <w:p/>
    <w:p>
      <w:pPr>
        <w:spacing w:after="120"/>
      </w:pPr>
      <w:r>
        <w:t xml:space="preserve">Resolution sought:</w:t>
      </w:r>
    </w:p>
    <w:p>
      <w:pPr>
        <w:spacing w:after="120"/>
      </w:pPr>
      <w:r>
        <w:t xml:space="preserve">1. A written position on the claim — acceptance, denial, or a statement of the reasons for the continuing delay and the additional information required.</w:t>
      </w:r>
    </w:p>
    <w:p>
      <w:pPr>
        <w:spacing w:after="120"/>
      </w:pPr>
      <w:r>
        <w:t xml:space="preserve">2. If the delay continues, notification at the intervals the regulation requires.</w:t>
      </w:r>
    </w:p>
    <w:p/>
    <w:p>
      <w:pPr>
        <w:spacing w:after="120"/>
      </w:pPr>
      <w:r>
        <w:t xml:space="preserve">NOT sought, stated expressly:</w:t>
      </w:r>
    </w:p>
    <w:p>
      <w:pPr>
        <w:spacing w:after="120"/>
      </w:pPr>
      <w:r>
        <w:t xml:space="preserve">— A determination of the amount of the loss. The parties have not reached the point of disputing the amount, and if they do, the policy's appraisal provision is the route. The department is not being asked to value the claim.</w:t>
      </w:r>
    </w:p>
    <w:p>
      <w:pPr>
        <w:spacing w:after="120"/>
      </w:pPr>
      <w:r>
        <w:t xml:space="preserve">— Damages, interest, or any award. The insured understands this process does not produce one.</w:t>
      </w:r>
    </w:p>
    <w:p/>
    <w:p>
      <w:pPr>
        <w:spacing w:after="120"/>
      </w:pPr>
      <w:r>
        <w:t xml:space="preserve">That paragraph exists because complaints asking a regulator to make a carrier pay a figure receive a reply explaining what the department does not do, and close there. Asking for the written position — which is the thing that has actually been withheld — asks for something the department can require.</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claims.professionaldrafter.com/public-adjuster/doi-complaint/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Department of Insurance Complaint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Insurance Complaint Template &amp; Example</dc:title>
  <dc:creator>Adjuster Report Library</dc:creator>
  <dc:description>How to file a claim-handling complaint with a state Department of Insurance so it closes as confirmed: what to allege, what to attach, and what the process can and cannot deliver.</dc:description>
  <cp:lastModifiedBy>Un-named</cp:lastModifiedBy>
  <cp:revision>1</cp:revision>
  <dcterms:created xsi:type="dcterms:W3CDTF">2026-10-13T13:35:09.322Z</dcterms:created>
  <dcterms:modified xsi:type="dcterms:W3CDTF">2026-10-13T13:35:09.322Z</dcterms:modified>
</cp:coreProperties>
</file>

<file path=docProps/custom.xml><?xml version="1.0" encoding="utf-8"?>
<Properties xmlns="http://schemas.openxmlformats.org/officeDocument/2006/custom-properties" xmlns:vt="http://schemas.openxmlformats.org/officeDocument/2006/docPropsVTypes"/>
</file>