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Flood vs. Wind Damage Allocation</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claims.professionaldrafter.com/investigation-and-scope/flood-vs-wind-allocation/</w:t>
      </w:r>
    </w:p>
    <w:p/>
    <w:p>
      <w:pPr>
        <w:pStyle w:val="Heading2"/>
      </w:pPr>
      <w:r>
        <w:t xml:space="preserve">Assignment, other insurance and limits of the comparison</w:t>
      </w:r>
    </w:p>
    <w:p>
      <w:pPr>
        <w:spacing w:after="120"/>
      </w:pPr>
      <w:r>
        <w:rPr>
          <w:i/>
          <w:iCs/>
          <w:sz w:val="18"/>
          <w:szCs w:val="18"/>
        </w:rPr>
        <w:t xml:space="preserve">“Handling a Claim with Multiple Perils” requires an understanding of the damage, its division between perils and other insurance implications before a recommendation. “What To Do at the Inspection” calls for the other carrier, policy and claim references, adjuster and agent contact details. Record which documents were actually obtained. This comparison concerns causes and repair scopes; it does not supply the other policy's coverage decision.</w:t>
      </w:r>
    </w:p>
    <w:p>
      <w:pPr>
        <w:spacing w:after="120"/>
      </w:pPr>
      <w:r>
        <w:rPr>
          <w:highlight w:val="yellow"/>
          <w:highlightCs w:val="yellow"/>
        </w:rPr>
        <w:t xml:space="preserve">[Companion scope worksheet, not a FEMA form or wind coverage determination; claim; property; author/date; involved perils; other insurer, policy, claim and contacts; records received; limits of review]</w:t>
      </w:r>
    </w:p>
    <w:p/>
    <w:p>
      <w:pPr>
        <w:pStyle w:val="Heading2"/>
      </w:pPr>
      <w:r>
        <w:t xml:space="preserve">Flood evidence and separately documented other damage</w:t>
      </w:r>
    </w:p>
    <w:p>
      <w:pPr>
        <w:spacing w:after="120"/>
      </w:pPr>
      <w:r>
        <w:rPr>
          <w:i/>
          <w:iCs/>
          <w:sz w:val="18"/>
          <w:szCs w:val="18"/>
        </w:rPr>
        <w:t xml:space="preserve">“What To Do at the Inspection” requires normal flood documentation plus separate documentation of the other peril. Include measured interior and exterior waterlines, damaged items and photographs. Document damage below the waterline that is not characteristic of flood as well as other damage above it; the manual names wind-damaged framing, debris differences and directional evidence. Its discussion of damage above the waterline also requires consideration of flood-related moisture, exposure and access. Height alone is not a complete cause analysis. Use the [photo log](/investigation-and-scope/claim-photo-log/) to identify the evidence.</w:t>
      </w:r>
    </w:p>
    <w:p>
      <w:pPr>
        <w:spacing w:after="120"/>
      </w:pPr>
      <w:r>
        <w:rPr>
          <w:highlight w:val="yellow"/>
          <w:highlightCs w:val="yellow"/>
        </w:rPr>
        <w:t xml:space="preserve">[Flood observations and measurements; other damage and source evidence; photograph locations/directions; policyholder accounts with attribution; timing/access evidence; observations versus explained inferences]</w:t>
      </w:r>
    </w:p>
    <w:p/>
    <w:p>
      <w:pPr>
        <w:pStyle w:val="Heading2"/>
      </w:pPr>
      <w:r>
        <w:t xml:space="preserve">Item comparison and shared repair work</w:t>
      </w:r>
    </w:p>
    <w:p>
      <w:pPr>
        <w:spacing w:after="120"/>
      </w:pPr>
      <w:r>
        <w:rPr>
          <w:i/>
          <w:iCs/>
          <w:sz w:val="18"/>
          <w:szCs w:val="18"/>
        </w:rPr>
        <w:t xml:space="preserve">“What to do to Complete the Flood Insurance Estimate” (Claims Journey–17–18) says coordination is unnecessary where scopes neither overlap nor border and photographs establish that separation. Where they border or overlap, contact the other adjuster to confirm the other scope. Compare the actual repair operations, including finishing work that can appear in both estimates. Show disputed items individually; the manual's approach supplies no basis for selecting a percentage simply because both perils occurred.</w:t>
      </w:r>
    </w:p>
    <w:p>
      <w:pPr>
        <w:spacing w:after="120"/>
      </w:pPr>
      <w:r>
        <w:rPr>
          <w:highlight w:val="yellow"/>
          <w:highlightCs w:val="yellow"/>
        </w:rPr>
        <w:t xml:space="preserve">[Item/location; damage and repair operation; flood evidence and proposed treatment; other adjuster's proposed treatment and source; separate, bordering or overlapping scope; quantity/price comparison; unresolved difference]</w:t>
      </w:r>
    </w:p>
    <w:p/>
    <w:p>
      <w:pPr>
        <w:pStyle w:val="Heading2"/>
      </w:pPr>
      <w:r>
        <w:t xml:space="preserve">Coordination record and estimate exchange</w:t>
      </w:r>
    </w:p>
    <w:p>
      <w:pPr>
        <w:spacing w:after="120"/>
      </w:pPr>
      <w:r>
        <w:rPr>
          <w:i/>
          <w:iCs/>
          <w:sz w:val="18"/>
          <w:szCs w:val="18"/>
        </w:rPr>
        <w:t xml:space="preserve">Under “What to do to Complete the Flood Insurance Estimate,” document an agreed scope in the claim notes and arrange for whichever adjuster finishes an estimate first to send it to the other for confirmation. For a disagreement, request a photograph exchange; if it continues, identify the disputed scope and consult the adjusting firm supervisor about the other scope or a state-licensed engineer's forensic assessment. Record agreement only to the extent actually reached.</w:t>
      </w:r>
    </w:p>
    <w:p>
      <w:pPr>
        <w:spacing w:after="120"/>
      </w:pPr>
      <w:r>
        <w:rPr>
          <w:highlight w:val="yellow"/>
          <w:highlightCs w:val="yellow"/>
        </w:rPr>
        <w:t xml:space="preserve">[Other adjuster contacted; date; items discussed; photographs and estimates exchanged; scope agreed and confirmation; remaining disagreement; supervisor review or assessment request and reason]</w:t>
      </w:r>
    </w:p>
    <w:p/>
    <w:p>
      <w:pPr>
        <w:pStyle w:val="Heading2"/>
      </w:pPr>
      <w:r>
        <w:t xml:space="preserve">Estimate treatment and supporting judgment</w:t>
      </w:r>
    </w:p>
    <w:p>
      <w:pPr>
        <w:spacing w:after="120"/>
      </w:pPr>
      <w:r>
        <w:rPr>
          <w:i/>
          <w:iCs/>
          <w:sz w:val="18"/>
          <w:szCs w:val="18"/>
        </w:rPr>
        <w:t xml:space="preserve">“What to do When Completing the Recommendation to the Policyholder” (Claims Journey–19–20) calls for estimate notes showing where flood repairs end and the other scope begins; it also permits showing other-peril items at zero unit price to explain their treatment. “What to do to Complete the Flood Insurance Estimate” addresses an unfinished other estimate: zero overlapping prices when the flood adjuster understands or has been informed the items belong on that estimate, or an engineer's assessment supports that treatment, and send the explanatory estimate to the other adjuster. This is not a reason to zero an unresolved item without support. “Reporting—Overview” (Claims Journey–33) permits an opinion with an explanation justifying the judgment and excludes unsupported opinions and sarcasm or demeaning commentary.</w:t>
      </w:r>
    </w:p>
    <w:p>
      <w:pPr>
        <w:spacing w:after="120"/>
      </w:pPr>
      <w:r>
        <w:rPr>
          <w:highlight w:val="yellow"/>
          <w:highlightCs w:val="yellow"/>
        </w:rPr>
        <w:t xml:space="preserve">[Flood estimate version; other estimate/report relied on; treatment of each shared item and supporting reason; any zero-price display clearly explained; recommendation or decision still open; no assumed wind payment]</w:t>
      </w:r>
    </w:p>
    <w:p/>
    <w:p>
      <w:pPr>
        <w:pStyle w:val="Heading2"/>
      </w:pPr>
      <w:r>
        <w:t xml:space="preserve">Unresolved issue and next evidence</w:t>
      </w:r>
    </w:p>
    <w:p>
      <w:pPr>
        <w:spacing w:after="120"/>
      </w:pPr>
      <w:r>
        <w:rPr>
          <w:i/>
          <w:iCs/>
          <w:sz w:val="18"/>
          <w:szCs w:val="18"/>
        </w:rPr>
        <w:t xml:space="preserve">“What to do Before Sending the Preliminary Report” calls for a request to the NFIP insurer for a state-licensed engineer's forensic damage assessment when separating flood damage and potential overlap is problematic, explaining the issue and supplying photographs with the request. “What to do to Complete the Flood Insurance Estimate” describes resolving continued disagreement with appropriate documentation. State the exact question, the evidence requested and who will follow up; a scheduling target is not a new NFIP deadline.</w:t>
      </w:r>
    </w:p>
    <w:p>
      <w:pPr>
        <w:spacing w:after="120"/>
      </w:pPr>
      <w:r>
        <w:rPr>
          <w:highlight w:val="yellow"/>
          <w:highlightCs w:val="yellow"/>
        </w:rPr>
        <w:t xml:space="preserve">[Unresolved cause or repair operation; missing photograph, estimate or assessment; recipient and request; next action/owner; follow-up target; effect on completion of the flood recommendation]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Cedar Quay mixed-peril loss, claim NF-FICTION-260914, A. Lin, flood adjuster R. Calloway and other-insurance adjuster L. Voss. This is separate from Willow Bend. All names, addresses, dates, identifiers, measurements, quantities, prices and evidence references are fictional. No actual photographs, estimates or policies accompany it. The amounts below are draft repair entries, not approved payments or a formula for dividing a claim.</w:t>
      </w:r>
    </w:p>
    <w:p/>
    <w:p>
      <w:pPr>
        <w:pStyle w:val="Heading2"/>
      </w:pPr>
      <w:r>
        <w:t xml:space="preserve">Assignment, other insurance and limits of the comparison</w:t>
      </w:r>
    </w:p>
    <w:p>
      <w:pPr>
        <w:spacing w:after="120"/>
      </w:pPr>
      <w:r>
        <w:t xml:space="preserve">Comparison dated 18 September 2026 for A. Lin, 86 Cedar Quay, following the reported storm and flood of 14 September. Flood claim NF-FICTION-260914 is assigned to R. Calloway. Lin supplied the contact for L. Voss, who is handling the separate claim with the fictional Harbor Mutual carrier, reference WIND-FICTION-914. Carrier and agent contact details are held in the file.</w:t>
      </w:r>
    </w:p>
    <w:p/>
    <w:p>
      <w:pPr>
        <w:spacing w:after="120"/>
      </w:pPr>
      <w:r>
        <w:t xml:space="preserve">Voss supplied a draft repair scope and selected inspection photographs. No wind coverage determination or payment confirmation has been supplied. This memorandum records the evidence and repair comparison for the flood adjustment. It does not represent that Harbor Mutual has accepted every item in its adjuster's draft.</w:t>
      </w:r>
    </w:p>
    <w:p/>
    <w:p>
      <w:pPr>
        <w:pStyle w:val="Heading2"/>
      </w:pPr>
      <w:r>
        <w:t xml:space="preserve">Flood evidence and separately documented other damage</w:t>
      </w:r>
    </w:p>
    <w:p>
      <w:pPr>
        <w:spacing w:after="120"/>
      </w:pPr>
      <w:r>
        <w:t xml:space="preserve">At the 16 September inspection, Calloway measured an exterior debris line 18 inches above the lowest adjacent grade and an interior living-room waterline 9 inches above the finished floor. Images CQ-F01 through CQ-F06 show the reference points, flood-borne debris and wet lower wallboard. Lin's event photographs show water across the property and adjacent yard.</w:t>
      </w:r>
    </w:p>
    <w:p/>
    <w:p>
      <w:pPr>
        <w:spacing w:after="120"/>
      </w:pPr>
      <w:r>
        <w:t xml:space="preserve">Separately, Voss's images CQ-W01 through CQ-W04 show a displaced roof covering and a water-entry path to the ceiling. Lin reports ceiling dripping during the storm before seeing water at floor level. That sequence is attributed to Lin. The roof photographs and ceiling path support investigating rain entry as a separate source; the height of the ceiling stain alone is not the basis for the distinction.</w:t>
      </w:r>
    </w:p>
    <w:p/>
    <w:p>
      <w:pPr>
        <w:pStyle w:val="Heading2"/>
      </w:pPr>
      <w:r>
        <w:t xml:space="preserve">Item comparison and shared repair work</w:t>
      </w:r>
    </w:p>
    <w:p>
      <w:pPr>
        <w:spacing w:after="120"/>
      </w:pPr>
      <w:r>
        <w:t xml:space="preserve">The working comparison identifies the following repair entries. Each price is a draft estimate figure before a settlement calculation.</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Repair entry</w:t>
            </w:r>
          </w:p>
        </w:tc>
        <w:tc>
          <w:tcPr>
            <w:tcMar>
              <w:top w:type="dxa" w:w="60"/>
              <w:left w:type="dxa" w:w="100"/>
              <w:bottom w:type="dxa" w:w="60"/>
              <w:right w:type="dxa" w:w="100"/>
            </w:tcMar>
          </w:tcPr>
          <w:p>
            <w:pPr>
              <w:spacing w:after="0"/>
            </w:pPr>
            <w:r>
              <w:rPr>
                <w:sz w:val="19"/>
                <w:szCs w:val="19"/>
              </w:rPr>
              <w:t xml:space="preserve">Flood draft</w:t>
            </w:r>
          </w:p>
        </w:tc>
        <w:tc>
          <w:tcPr>
            <w:tcMar>
              <w:top w:type="dxa" w:w="60"/>
              <w:left w:type="dxa" w:w="100"/>
              <w:bottom w:type="dxa" w:w="60"/>
              <w:right w:type="dxa" w:w="100"/>
            </w:tcMar>
          </w:tcPr>
          <w:p>
            <w:pPr>
              <w:spacing w:after="0"/>
            </w:pPr>
            <w:r>
              <w:rPr>
                <w:sz w:val="19"/>
                <w:szCs w:val="19"/>
              </w:rPr>
              <w:t xml:space="preserve">Other adjuster's draft</w:t>
            </w:r>
          </w:p>
        </w:tc>
        <w:tc>
          <w:tcPr>
            <w:tcMar>
              <w:top w:type="dxa" w:w="60"/>
              <w:left w:type="dxa" w:w="100"/>
              <w:bottom w:type="dxa" w:w="60"/>
              <w:right w:type="dxa" w:w="100"/>
            </w:tcMar>
          </w:tcPr>
          <w:p>
            <w:pPr>
              <w:spacing w:after="0"/>
            </w:pPr>
            <w:r>
              <w:rPr>
                <w:sz w:val="19"/>
                <w:szCs w:val="19"/>
              </w:rPr>
              <w:t xml:space="preserve">Comparison</w:t>
            </w:r>
          </w:p>
        </w:tc>
      </w:tr>
      <w:tr>
        <w:trPr>
          <w:tblHeader w:val="false"/>
        </w:trPr>
        <w:tc>
          <w:tcPr>
            <w:tcMar>
              <w:top w:type="dxa" w:w="60"/>
              <w:left w:type="dxa" w:w="100"/>
              <w:bottom w:type="dxa" w:w="60"/>
              <w:right w:type="dxa" w:w="100"/>
            </w:tcMar>
          </w:tcPr>
          <w:p>
            <w:pPr>
              <w:spacing w:after="0"/>
            </w:pPr>
            <w:r>
              <w:rPr>
                <w:sz w:val="19"/>
                <w:szCs w:val="19"/>
              </w:rPr>
              <w:t xml:space="preserve">Lower living-room wallboard, 72 square feet</w:t>
            </w:r>
          </w:p>
        </w:tc>
        <w:tc>
          <w:tcPr>
            <w:tcMar>
              <w:top w:type="dxa" w:w="60"/>
              <w:left w:type="dxa" w:w="100"/>
              <w:bottom w:type="dxa" w:w="60"/>
              <w:right w:type="dxa" w:w="100"/>
            </w:tcMar>
          </w:tcPr>
          <w:p>
            <w:pPr>
              <w:spacing w:after="0"/>
            </w:pPr>
            <w:r>
              <w:rPr>
                <w:sz w:val="19"/>
                <w:szCs w:val="19"/>
              </w:rPr>
              <w:t xml:space="preserve">$540</w:t>
            </w:r>
          </w:p>
        </w:tc>
        <w:tc>
          <w:tcPr>
            <w:tcMar>
              <w:top w:type="dxa" w:w="60"/>
              <w:left w:type="dxa" w:w="100"/>
              <w:bottom w:type="dxa" w:w="60"/>
              <w:right w:type="dxa" w:w="100"/>
            </w:tcMar>
          </w:tcPr>
          <w:p>
            <w:pPr>
              <w:spacing w:after="0"/>
            </w:pPr>
            <w:r>
              <w:rPr>
                <w:sz w:val="19"/>
                <w:szCs w:val="19"/>
              </w:rPr>
              <w:t xml:space="preserve">Not listed</w:t>
            </w:r>
          </w:p>
        </w:tc>
        <w:tc>
          <w:tcPr>
            <w:tcMar>
              <w:top w:type="dxa" w:w="60"/>
              <w:left w:type="dxa" w:w="100"/>
              <w:bottom w:type="dxa" w:w="60"/>
              <w:right w:type="dxa" w:w="100"/>
            </w:tcMar>
          </w:tcPr>
          <w:p>
            <w:pPr>
              <w:spacing w:after="0"/>
            </w:pPr>
            <w:r>
              <w:rPr>
                <w:sz w:val="19"/>
                <w:szCs w:val="19"/>
              </w:rPr>
              <w:t xml:space="preserve">Flood-wetting photographs support the lower-wall scope</w:t>
            </w:r>
          </w:p>
        </w:tc>
      </w:tr>
      <w:tr>
        <w:trPr>
          <w:tblHeader w:val="false"/>
        </w:trPr>
        <w:tc>
          <w:tcPr>
            <w:tcMar>
              <w:top w:type="dxa" w:w="60"/>
              <w:left w:type="dxa" w:w="100"/>
              <w:bottom w:type="dxa" w:w="60"/>
              <w:right w:type="dxa" w:w="100"/>
            </w:tcMar>
          </w:tcPr>
          <w:p>
            <w:pPr>
              <w:spacing w:after="0"/>
            </w:pPr>
            <w:r>
              <w:rPr>
                <w:sz w:val="19"/>
                <w:szCs w:val="19"/>
              </w:rPr>
              <w:t xml:space="preserve">Roof covering repair</w:t>
            </w:r>
          </w:p>
        </w:tc>
        <w:tc>
          <w:tcPr>
            <w:tcMar>
              <w:top w:type="dxa" w:w="60"/>
              <w:left w:type="dxa" w:w="100"/>
              <w:bottom w:type="dxa" w:w="60"/>
              <w:right w:type="dxa" w:w="100"/>
            </w:tcMar>
          </w:tcPr>
          <w:p>
            <w:pPr>
              <w:spacing w:after="0"/>
            </w:pPr>
            <w:r>
              <w:rPr>
                <w:sz w:val="19"/>
                <w:szCs w:val="19"/>
              </w:rPr>
              <w:t xml:space="preserve">Not listed</w:t>
            </w:r>
          </w:p>
        </w:tc>
        <w:tc>
          <w:tcPr>
            <w:tcMar>
              <w:top w:type="dxa" w:w="60"/>
              <w:left w:type="dxa" w:w="100"/>
              <w:bottom w:type="dxa" w:w="60"/>
              <w:right w:type="dxa" w:w="100"/>
            </w:tcMar>
          </w:tcPr>
          <w:p>
            <w:pPr>
              <w:spacing w:after="0"/>
            </w:pPr>
            <w:r>
              <w:rPr>
                <w:sz w:val="19"/>
                <w:szCs w:val="19"/>
              </w:rPr>
              <w:t xml:space="preserve">$4,800</w:t>
            </w:r>
          </w:p>
        </w:tc>
        <w:tc>
          <w:tcPr>
            <w:tcMar>
              <w:top w:type="dxa" w:w="60"/>
              <w:left w:type="dxa" w:w="100"/>
              <w:bottom w:type="dxa" w:w="60"/>
              <w:right w:type="dxa" w:w="100"/>
            </w:tcMar>
          </w:tcPr>
          <w:p>
            <w:pPr>
              <w:spacing w:after="0"/>
            </w:pPr>
            <w:r>
              <w:rPr>
                <w:sz w:val="19"/>
                <w:szCs w:val="19"/>
              </w:rPr>
              <w:t xml:space="preserve">Voss's separate roof scope and photographs</w:t>
            </w:r>
          </w:p>
        </w:tc>
      </w:tr>
      <w:tr>
        <w:trPr>
          <w:tblHeader w:val="false"/>
        </w:trPr>
        <w:tc>
          <w:tcPr>
            <w:tcMar>
              <w:top w:type="dxa" w:w="60"/>
              <w:left w:type="dxa" w:w="100"/>
              <w:bottom w:type="dxa" w:w="60"/>
              <w:right w:type="dxa" w:w="100"/>
            </w:tcMar>
          </w:tcPr>
          <w:p>
            <w:pPr>
              <w:spacing w:after="0"/>
            </w:pPr>
            <w:r>
              <w:rPr>
                <w:sz w:val="19"/>
                <w:szCs w:val="19"/>
              </w:rPr>
              <w:t xml:space="preserve">Ceiling repair</w:t>
            </w:r>
          </w:p>
        </w:tc>
        <w:tc>
          <w:tcPr>
            <w:tcMar>
              <w:top w:type="dxa" w:w="60"/>
              <w:left w:type="dxa" w:w="100"/>
              <w:bottom w:type="dxa" w:w="60"/>
              <w:right w:type="dxa" w:w="100"/>
            </w:tcMar>
          </w:tcPr>
          <w:p>
            <w:pPr>
              <w:spacing w:after="0"/>
            </w:pPr>
            <w:r>
              <w:rPr>
                <w:sz w:val="19"/>
                <w:szCs w:val="19"/>
              </w:rPr>
              <w:t xml:space="preserve">Not listed</w:t>
            </w:r>
          </w:p>
        </w:tc>
        <w:tc>
          <w:tcPr>
            <w:tcMar>
              <w:top w:type="dxa" w:w="60"/>
              <w:left w:type="dxa" w:w="100"/>
              <w:bottom w:type="dxa" w:w="60"/>
              <w:right w:type="dxa" w:w="100"/>
            </w:tcMar>
          </w:tcPr>
          <w:p>
            <w:pPr>
              <w:spacing w:after="0"/>
            </w:pPr>
            <w:r>
              <w:rPr>
                <w:sz w:val="19"/>
                <w:szCs w:val="19"/>
              </w:rPr>
              <w:t xml:space="preserve">$1,260</w:t>
            </w:r>
          </w:p>
        </w:tc>
        <w:tc>
          <w:tcPr>
            <w:tcMar>
              <w:top w:type="dxa" w:w="60"/>
              <w:left w:type="dxa" w:w="100"/>
              <w:bottom w:type="dxa" w:w="60"/>
              <w:right w:type="dxa" w:w="100"/>
            </w:tcMar>
          </w:tcPr>
          <w:p>
            <w:pPr>
              <w:spacing w:after="0"/>
            </w:pPr>
            <w:r>
              <w:rPr>
                <w:sz w:val="19"/>
                <w:szCs w:val="19"/>
              </w:rPr>
              <w:t xml:space="preserve">Voss's rain-entry scope, bordering the wall finish</w:t>
            </w:r>
          </w:p>
        </w:tc>
      </w:tr>
      <w:tr>
        <w:trPr>
          <w:tblHeader w:val="false"/>
        </w:trPr>
        <w:tc>
          <w:tcPr>
            <w:tcMar>
              <w:top w:type="dxa" w:w="60"/>
              <w:left w:type="dxa" w:w="100"/>
              <w:bottom w:type="dxa" w:w="60"/>
              <w:right w:type="dxa" w:w="100"/>
            </w:tcMar>
          </w:tcPr>
          <w:p>
            <w:pPr>
              <w:spacing w:after="0"/>
            </w:pPr>
            <w:r>
              <w:rPr>
                <w:sz w:val="19"/>
                <w:szCs w:val="19"/>
              </w:rPr>
              <w:t xml:space="preserve">Living-room wall painting, 210 square feet</w:t>
            </w:r>
          </w:p>
        </w:tc>
        <w:tc>
          <w:tcPr>
            <w:tcMar>
              <w:top w:type="dxa" w:w="60"/>
              <w:left w:type="dxa" w:w="100"/>
              <w:bottom w:type="dxa" w:w="60"/>
              <w:right w:type="dxa" w:w="100"/>
            </w:tcMar>
          </w:tcPr>
          <w:p>
            <w:pPr>
              <w:spacing w:after="0"/>
            </w:pPr>
            <w:r>
              <w:rPr>
                <w:sz w:val="19"/>
                <w:szCs w:val="19"/>
              </w:rPr>
              <w:t xml:space="preserve">$630</w:t>
            </w:r>
          </w:p>
        </w:tc>
        <w:tc>
          <w:tcPr>
            <w:tcMar>
              <w:top w:type="dxa" w:w="60"/>
              <w:left w:type="dxa" w:w="100"/>
              <w:bottom w:type="dxa" w:w="60"/>
              <w:right w:type="dxa" w:w="100"/>
            </w:tcMar>
          </w:tcPr>
          <w:p>
            <w:pPr>
              <w:spacing w:after="0"/>
            </w:pPr>
            <w:r>
              <w:rPr>
                <w:sz w:val="19"/>
                <w:szCs w:val="19"/>
              </w:rPr>
              <w:t xml:space="preserve">$720</w:t>
            </w:r>
          </w:p>
        </w:tc>
        <w:tc>
          <w:tcPr>
            <w:tcMar>
              <w:top w:type="dxa" w:w="60"/>
              <w:left w:type="dxa" w:w="100"/>
              <w:bottom w:type="dxa" w:w="60"/>
              <w:right w:type="dxa" w:w="100"/>
            </w:tcMar>
          </w:tcPr>
          <w:p>
            <w:pPr>
              <w:spacing w:after="0"/>
            </w:pPr>
            <w:r>
              <w:rPr>
                <w:sz w:val="19"/>
                <w:szCs w:val="19"/>
              </w:rPr>
              <w:t xml:space="preserve">Both drafts name the same wall surfaces</w:t>
            </w:r>
          </w:p>
        </w:tc>
      </w:tr>
    </w:tbl>
    <w:p/>
    <w:p>
      <w:pPr>
        <w:spacing w:after="120"/>
      </w:pPr>
      <w:r>
        <w:t xml:space="preserve">The painting entries describe potentially duplicated work. Their different prices do not demonstrate different surfaces or causes. The comparison therefore flags the operation for resolution instead of adding the entries together or dividing them by a percentage. The ceiling-to-wall finish junction makes the scopes adjoining even though the initial water-entry paths differ.</w:t>
      </w:r>
    </w:p>
    <w:p/>
    <w:p>
      <w:pPr>
        <w:pStyle w:val="Heading2"/>
      </w:pPr>
      <w:r>
        <w:t xml:space="preserve">Coordination record and estimate exchange</w:t>
      </w:r>
    </w:p>
    <w:p>
      <w:pPr>
        <w:spacing w:after="120"/>
      </w:pPr>
      <w:r>
        <w:t xml:space="preserve">Calloway and Voss discussed the living-room scope on 18 September and exchanged the identified photographs. Voss confirmed that the other draft includes wall painting associated with the ceiling repair, but could not confirm whether its room measurement includes precisely the same surfaces as the flood draft. The note records that limited confirmation, not agreement on the final painting treatment.</w:t>
      </w:r>
    </w:p>
    <w:p/>
    <w:p>
      <w:pPr>
        <w:spacing w:after="120"/>
      </w:pPr>
      <w:r>
        <w:t xml:space="preserve">Calloway requested Voss's marked room sketch and finish specification and supplied the flood sketch in return. The adjusters agreed to exchange completed estimates when available and compare them with the eventual scope agreement. The painting operation remains unresolved after the call.</w:t>
      </w:r>
    </w:p>
    <w:p/>
    <w:p>
      <w:pPr>
        <w:pStyle w:val="Heading2"/>
      </w:pPr>
      <w:r>
        <w:t xml:space="preserve">Estimate treatment and supporting judgment</w:t>
      </w:r>
    </w:p>
    <w:p>
      <w:pPr>
        <w:spacing w:after="120"/>
      </w:pPr>
      <w:r>
        <w:t xml:space="preserve">Flood draft A retains the photographed lower-wall repair and flags the painting entry as under review. The roof and ceiling entries appear in this comparison solely to identify Voss's proposed work; their prices are not added to the flood draft. No statement in this note assigns those prices as amounts the wind carrier must pay.</w:t>
      </w:r>
    </w:p>
    <w:p/>
    <w:p>
      <w:pPr>
        <w:spacing w:after="120"/>
      </w:pPr>
      <w:r>
        <w:t xml:space="preserve">My present judgment is that the two painting entries may cover the same work, because they name the same room and wall surfaces at the ceiling repair junction. The missing marked sketch prevents a final conclusion about their extent. I have not zeroed the flood painting entry on an unsupported assumption that the other carrier will pay it, and this draft is not a completed payment recommendation.</w:t>
      </w:r>
    </w:p>
    <w:p/>
    <w:p>
      <w:pPr>
        <w:pStyle w:val="Heading2"/>
      </w:pPr>
      <w:r>
        <w:t xml:space="preserve">Unresolved issue and next evidence</w:t>
      </w:r>
    </w:p>
    <w:p>
      <w:pPr>
        <w:spacing w:after="120"/>
      </w:pPr>
      <w:r>
        <w:t xml:space="preserve">Calloway will compare the requested sketch and finish specification with the flood room measurements, with a planned follow-up on 21 September. That is a work target for this fictional file. The open question is which wall-finishing operation each estimate includes and how the shared work should be recorded once its extent is established.</w:t>
      </w:r>
    </w:p>
    <w:p/>
    <w:p>
      <w:pPr>
        <w:spacing w:after="120"/>
      </w:pPr>
      <w:r>
        <w:t xml:space="preserve">If the photograph and scope exchange does not resolve the issue, Calloway will refer the identified disagreement to the adjusting firm supervisor and address whether a forensic assessment is needed. No engineering opinion is claimed to exist in this record. The evidence index and call note can support an issue update now, while the final treatment of the shared painting remains open.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claims.professionaldrafter.com/investigation-and-scope/flood-vs-wind-allocation/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Flood vs. Wind Damage Allocation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Flood vs. Wind Damage Allocation Template &amp; Example</dc:title>
  <dc:creator>Adjuster Report Library</dc:creator>
  <dc:description>Document flood and wind damage separately with an NFIP-based scope comparison, overlapping repair example and free Word worksheet. June 2025 manual.</dc:description>
  <cp:lastModifiedBy>Un-named</cp:lastModifiedBy>
  <cp:revision>1</cp:revision>
  <dcterms:created xsi:type="dcterms:W3CDTF">2026-10-13T13:35:09.434Z</dcterms:created>
  <dcterms:modified xsi:type="dcterms:W3CDTF">2026-10-13T13:35:09.434Z</dcterms:modified>
</cp:coreProperties>
</file>

<file path=docProps/custom.xml><?xml version="1.0" encoding="utf-8"?>
<Properties xmlns="http://schemas.openxmlformats.org/officeDocument/2006/custom-properties" xmlns:vt="http://schemas.openxmlformats.org/officeDocument/2006/docPropsVTypes"/>
</file>