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Itemized Statement of Recoveries &amp; Compensation</w:t>
      </w:r>
    </w:p>
    <w:p>
      <w:pPr>
        <w:spacing w:after="120"/>
      </w:pPr>
      <w:r>
        <w:rPr>
          <w:i/>
          <w:iCs/>
          <w:sz w:val="20"/>
          <w:szCs w:val="20"/>
        </w:rPr>
        <w:t xml:space="preserve">Fillable template. Everything highlighted in yellow is yours to replace — 28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claims.professionaldrafter.com/public-adjuster/itemized-statement-of-recoveries/</w:t>
      </w:r>
    </w:p>
    <w:p/>
    <w:p>
      <w:pPr>
        <w:pStyle w:val="Heading2"/>
      </w:pPr>
      <w:r>
        <w:t xml:space="preserve">Matter identification</w:t>
      </w:r>
    </w:p>
    <w:p>
      <w:pPr>
        <w:spacing w:after="120"/>
      </w:pPr>
      <w:r>
        <w:rPr>
          <w:i/>
          <w:iCs/>
          <w:sz w:val="18"/>
          <w:szCs w:val="18"/>
        </w:rPr>
        <w:t xml:space="preserve">The record must identify the insured, the date, location and amount of the loss, the insurer, and the policy — amount, expiration date and number — along with the adjuster who executed the contract, and the names of the insured's attorney and the carrier's claim representatives where they exist. Capture these once at the head of the statement rather than scattered through the file.</w:t>
      </w:r>
    </w:p>
    <w:p>
      <w:pPr>
        <w:spacing w:after="120"/>
      </w:pPr>
      <w:r>
        <w:t xml:space="preserve">Insured: </w:t>
      </w:r>
      <w:r>
        <w:rPr>
          <w:highlight w:val="yellow"/>
          <w:highlightCs w:val="yellow"/>
        </w:rPr>
        <w:t xml:space="preserve">[ ______________________ ]</w:t>
      </w:r>
    </w:p>
    <w:p>
      <w:pPr>
        <w:spacing w:after="120"/>
      </w:pPr>
      <w:r>
        <w:t xml:space="preserve">Date, location and amount of loss: </w:t>
      </w:r>
      <w:r>
        <w:rPr>
          <w:highlight w:val="yellow"/>
          <w:highlightCs w:val="yellow"/>
        </w:rPr>
        <w:t xml:space="preserve">[ ______________________ ]</w:t>
      </w:r>
    </w:p>
    <w:p>
      <w:pPr>
        <w:spacing w:after="120"/>
      </w:pPr>
      <w:r>
        <w:t xml:space="preserve">Insurer and policy number: </w:t>
      </w:r>
      <w:r>
        <w:rPr>
          <w:highlight w:val="yellow"/>
          <w:highlightCs w:val="yellow"/>
        </w:rPr>
        <w:t xml:space="preserve">[ ______________________ ]</w:t>
      </w:r>
    </w:p>
    <w:p>
      <w:pPr>
        <w:spacing w:after="120"/>
      </w:pPr>
      <w:r>
        <w:t xml:space="preserve">Policy amount and expiration date: </w:t>
      </w:r>
      <w:r>
        <w:rPr>
          <w:highlight w:val="yellow"/>
          <w:highlightCs w:val="yellow"/>
        </w:rPr>
        <w:t xml:space="preserve">[ ______________________ ]</w:t>
      </w:r>
    </w:p>
    <w:p>
      <w:pPr>
        <w:spacing w:after="120"/>
      </w:pPr>
      <w:r>
        <w:t xml:space="preserve">Adjuster who executed the contract: </w:t>
      </w:r>
      <w:r>
        <w:rPr>
          <w:highlight w:val="yellow"/>
          <w:highlightCs w:val="yellow"/>
        </w:rPr>
        <w:t xml:space="preserve">[ ______________________ ]</w:t>
      </w:r>
    </w:p>
    <w:p>
      <w:pPr>
        <w:spacing w:after="120"/>
      </w:pPr>
      <w:r>
        <w:t xml:space="preserve">Insured's attorney / carrier representatives: </w:t>
      </w:r>
      <w:r>
        <w:rPr>
          <w:highlight w:val="yellow"/>
          <w:highlightCs w:val="yellow"/>
        </w:rPr>
        <w:t xml:space="preserve">[If applicable]</w:t>
      </w:r>
    </w:p>
    <w:p>
      <w:pPr>
        <w:spacing w:after="120"/>
      </w:pPr>
      <w:r>
        <w:rPr>
          <w:highlight w:val="yellow"/>
          <w:highlightCs w:val="yellow"/>
        </w:rPr>
        <w:t xml:space="preserve">[Insured; date, location and amount of loss; insurer; policy number, amount and expiration; adjuster who executed the contract; attorney and carrier representatives if any]</w:t>
      </w:r>
    </w:p>
    <w:p/>
    <w:p>
      <w:pPr>
        <w:pStyle w:val="Heading2"/>
      </w:pPr>
      <w:r>
        <w:t xml:space="preserve">Statement 1 — the insured's recoveries</w:t>
      </w:r>
    </w:p>
    <w:p>
      <w:pPr>
        <w:spacing w:after="120"/>
      </w:pPr>
      <w:r>
        <w:rPr>
          <w:i/>
          <w:iCs/>
          <w:sz w:val="18"/>
          <w:szCs w:val="18"/>
        </w:rPr>
        <w:t xml:space="preserve">Every payment recovered on the claim, itemized: date, payer, amount, what it was for, and whether it fell before or after the contract date. That last column is what makes the fee calculation checkable, and its absence is what makes fee disputes unresolvable. Show the total.</w:t>
      </w:r>
    </w:p>
    <w:p>
      <w:pPr>
        <w:spacing w:after="120"/>
      </w:pPr>
      <w:r>
        <w:rPr>
          <w:highlight w:val="yellow"/>
          <w:highlightCs w:val="yellow"/>
        </w:rPr>
        <w:t xml:space="preserve">[Each recovery: date, payer, amount, coverage or purpose, pre- or post-contract]</w:t>
      </w:r>
    </w:p>
    <w:p>
      <w:pPr>
        <w:pStyle w:val="ListParagraph"/>
        <w:numPr>
          <w:ilvl w:val="0"/>
          <w:numId w:val="1"/>
        </w:numPr>
        <w:spacing w:after="80"/>
      </w:pPr>
      <w:r>
        <w:rPr>
          <w:highlight w:val="yellow"/>
          <w:highlightCs w:val="yellow"/>
        </w:rPr>
        <w:t xml:space="preserve">[Date | Payer | Amount | What it covers | Pre/post contract]</w:t>
      </w:r>
    </w:p>
    <w:p>
      <w:pPr>
        <w:pStyle w:val="ListParagraph"/>
        <w:numPr>
          <w:ilvl w:val="0"/>
          <w:numId w:val="1"/>
        </w:numPr>
        <w:spacing w:after="80"/>
      </w:pPr>
      <w:r>
        <w:rPr>
          <w:highlight w:val="yellow"/>
          <w:highlightCs w:val="yellow"/>
        </w:rPr>
        <w:t xml:space="preserve">[Total recovered]</w:t>
      </w:r>
    </w:p>
    <w:p>
      <w:pPr>
        <w:pStyle w:val="ListParagraph"/>
        <w:numPr>
          <w:ilvl w:val="0"/>
          <w:numId w:val="1"/>
        </w:numPr>
        <w:spacing w:after="80"/>
      </w:pPr>
      <w:r>
        <w:rPr>
          <w:highlight w:val="yellow"/>
          <w:highlightCs w:val="yellow"/>
        </w:rPr>
        <w:t xml:space="preserve">[Total recovered after the contract date — the fee base]</w:t>
      </w:r>
    </w:p>
    <w:p/>
    <w:p>
      <w:pPr>
        <w:pStyle w:val="Heading2"/>
      </w:pPr>
      <w:r>
        <w:t xml:space="preserve">Statement 2 — all compensation received, from any source</w:t>
      </w:r>
    </w:p>
    <w:p>
      <w:pPr>
        <w:spacing w:after="120"/>
      </w:pPr>
      <w:r>
        <w:rPr>
          <w:i/>
          <w:iCs/>
          <w:sz w:val="18"/>
          <w:szCs w:val="18"/>
        </w:rPr>
        <w:t xml:space="preserve">Every item of value the adjuster received in connection with this loss, whoever paid it. The fee, obviously. Also any reimbursed expense, and anything received from a third party — a contractor, a vendor, a referral arrangement. Most such arrangements are prohibited by the conduct standards, and the correct response to discovering one is to disclose it in writing with its source and amount, not to leave it off a statement that says 'from any source whatsoever'.</w:t>
      </w:r>
    </w:p>
    <w:p>
      <w:pPr>
        <w:spacing w:after="120"/>
      </w:pPr>
      <w:r>
        <w:rPr>
          <w:highlight w:val="yellow"/>
          <w:highlightCs w:val="yellow"/>
        </w:rPr>
        <w:t xml:space="preserve">[Each item: date, source, amount, basis, and whether disclosed to the insured in writing]</w:t>
      </w:r>
    </w:p>
    <w:p>
      <w:pPr>
        <w:pStyle w:val="ListParagraph"/>
        <w:numPr>
          <w:ilvl w:val="0"/>
          <w:numId w:val="1"/>
        </w:numPr>
        <w:spacing w:after="80"/>
      </w:pPr>
      <w:r>
        <w:rPr>
          <w:highlight w:val="yellow"/>
          <w:highlightCs w:val="yellow"/>
        </w:rPr>
        <w:t xml:space="preserve">[Date | Source | Amount | Basis | Disclosed in writing?]</w:t>
      </w:r>
    </w:p>
    <w:p>
      <w:pPr>
        <w:pStyle w:val="ListParagraph"/>
        <w:numPr>
          <w:ilvl w:val="0"/>
          <w:numId w:val="1"/>
        </w:numPr>
        <w:spacing w:after="80"/>
      </w:pPr>
      <w:r>
        <w:rPr>
          <w:highlight w:val="yellow"/>
          <w:highlightCs w:val="yellow"/>
        </w:rPr>
        <w:t xml:space="preserve">[Total compensation received]</w:t>
      </w:r>
    </w:p>
    <w:p/>
    <w:p>
      <w:pPr>
        <w:pStyle w:val="Heading2"/>
      </w:pPr>
      <w:r>
        <w:t xml:space="preserve">Expenses reimbursed</w:t>
      </w:r>
    </w:p>
    <w:p>
      <w:pPr>
        <w:spacing w:after="120"/>
      </w:pPr>
      <w:r>
        <w:rPr>
          <w:i/>
          <w:iCs/>
          <w:sz w:val="18"/>
          <w:szCs w:val="18"/>
        </w:rPr>
        <w:t xml:space="preserve">Reimbursable expenses were specified by type with dollar estimates in the contract. Show each actual against its estimate. Where an actual exceeds its estimate, show the insured's prior written approval or explain its absence — additional expenses require approval first, so an unapproved overrun is a finding about the engagement, not a rounding difference.</w:t>
      </w:r>
    </w:p>
    <w:p>
      <w:pPr>
        <w:spacing w:after="120"/>
      </w:pPr>
      <w:r>
        <w:t xml:space="preserve">Expense type: </w:t>
      </w:r>
      <w:r>
        <w:rPr>
          <w:highlight w:val="yellow"/>
          <w:highlightCs w:val="yellow"/>
        </w:rPr>
        <w:t xml:space="preserve">[ ______________________ ]</w:t>
      </w:r>
    </w:p>
    <w:p>
      <w:pPr>
        <w:spacing w:after="120"/>
      </w:pPr>
      <w:r>
        <w:t xml:space="preserve">Estimate in contract: </w:t>
      </w:r>
      <w:r>
        <w:rPr>
          <w:highlight w:val="yellow"/>
          <w:highlightCs w:val="yellow"/>
        </w:rPr>
        <w:t xml:space="preserve">[ ______________________ ]</w:t>
      </w:r>
    </w:p>
    <w:p>
      <w:pPr>
        <w:spacing w:after="120"/>
      </w:pPr>
      <w:r>
        <w:t xml:space="preserve">Actual: </w:t>
      </w:r>
      <w:r>
        <w:rPr>
          <w:highlight w:val="yellow"/>
          <w:highlightCs w:val="yellow"/>
        </w:rPr>
        <w:t xml:space="preserve">[ ______________________ ]</w:t>
      </w:r>
    </w:p>
    <w:p>
      <w:pPr>
        <w:spacing w:after="120"/>
      </w:pPr>
      <w:r>
        <w:t xml:space="preserve">Prior written approval: </w:t>
      </w:r>
      <w:r>
        <w:rPr>
          <w:highlight w:val="yellow"/>
          <w:highlightCs w:val="yellow"/>
        </w:rPr>
        <w:t xml:space="preserve">[Required where actual exceeds estimate]</w:t>
      </w:r>
    </w:p>
    <w:p>
      <w:pPr>
        <w:spacing w:after="120"/>
      </w:pPr>
      <w:r>
        <w:rPr>
          <w:highlight w:val="yellow"/>
          <w:highlightCs w:val="yellow"/>
        </w:rPr>
        <w:t xml:space="preserve">[Each expense: type, contract estimate, actual, approval reference where it exceeds the estimate]</w:t>
      </w:r>
    </w:p>
    <w:p/>
    <w:p>
      <w:pPr>
        <w:pStyle w:val="Heading2"/>
      </w:pPr>
      <w:r>
        <w:t xml:space="preserve">Funds register and net to the insured</w:t>
      </w:r>
    </w:p>
    <w:p>
      <w:pPr>
        <w:spacing w:after="120"/>
      </w:pPr>
      <w:r>
        <w:rPr>
          <w:i/>
          <w:iCs/>
          <w:sz w:val="18"/>
          <w:szCs w:val="18"/>
        </w:rPr>
        <w:t xml:space="preserve">Where funds passed through the adjuster's hands, the register records everything received, deposited, disbursed or withdrawn, including transfers out of the trust account. Funds held for an insured go in a non-interest-bearing escrow or trust account at a federally insured institution. Close with the arithmetic the insured actually cares about: recovered, less fee, less approved expenses, equals net received, with dates.</w:t>
      </w:r>
    </w:p>
    <w:p>
      <w:pPr>
        <w:spacing w:after="120"/>
      </w:pPr>
      <w:r>
        <w:t xml:space="preserve">Trust account institution: </w:t>
      </w:r>
      <w:r>
        <w:rPr>
          <w:highlight w:val="yellow"/>
          <w:highlightCs w:val="yellow"/>
        </w:rPr>
        <w:t xml:space="preserve">[Federally insured; non-interest-bearing]</w:t>
      </w:r>
    </w:p>
    <w:p>
      <w:pPr>
        <w:spacing w:after="120"/>
      </w:pPr>
      <w:r>
        <w:t xml:space="preserve">Total recovered: </w:t>
      </w:r>
      <w:r>
        <w:rPr>
          <w:highlight w:val="yellow"/>
          <w:highlightCs w:val="yellow"/>
        </w:rPr>
        <w:t xml:space="preserve">[ ______________________ ]</w:t>
      </w:r>
    </w:p>
    <w:p>
      <w:pPr>
        <w:spacing w:after="120"/>
      </w:pPr>
      <w:r>
        <w:t xml:space="preserve">Less fee: </w:t>
      </w:r>
      <w:r>
        <w:rPr>
          <w:highlight w:val="yellow"/>
          <w:highlightCs w:val="yellow"/>
        </w:rPr>
        <w:t xml:space="preserve">[ ______________________ ]</w:t>
      </w:r>
    </w:p>
    <w:p>
      <w:pPr>
        <w:spacing w:after="120"/>
      </w:pPr>
      <w:r>
        <w:t xml:space="preserve">Less approved expenses: </w:t>
      </w:r>
      <w:r>
        <w:rPr>
          <w:highlight w:val="yellow"/>
          <w:highlightCs w:val="yellow"/>
        </w:rPr>
        <w:t xml:space="preserve">[ ______________________ ]</w:t>
      </w:r>
    </w:p>
    <w:p>
      <w:pPr>
        <w:spacing w:after="120"/>
      </w:pPr>
      <w:r>
        <w:t xml:space="preserve">Net to insured, and date paid: </w:t>
      </w:r>
      <w:r>
        <w:rPr>
          <w:highlight w:val="yellow"/>
          <w:highlightCs w:val="yellow"/>
        </w:rPr>
        <w:t xml:space="preserve">[ ______________________ ]</w:t>
      </w:r>
    </w:p>
    <w:p>
      <w:pPr>
        <w:spacing w:after="120"/>
      </w:pPr>
      <w:r>
        <w:rPr>
          <w:highlight w:val="yellow"/>
          <w:highlightCs w:val="yellow"/>
        </w:rPr>
        <w:t xml:space="preserve">[Register entries; account details; net calculation with dates]</w:t>
      </w:r>
    </w:p>
    <w:p/>
    <w:p>
      <w:pPr>
        <w:pStyle w:val="Heading2"/>
      </w:pPr>
      <w:r>
        <w:t xml:space="preserve">Retention</w:t>
      </w:r>
    </w:p>
    <w:p>
      <w:pPr>
        <w:spacing w:after="120"/>
      </w:pPr>
      <w:r>
        <w:rPr>
          <w:i/>
          <w:iCs/>
          <w:sz w:val="18"/>
          <w:szCs w:val="18"/>
        </w:rPr>
        <w:t xml:space="preserve">Records are retained at least five years after the termination of the transaction with the insured, and are open to examination by the commissioner at all times. Record the termination date the retention period runs from, because 'five years from the file' is not a date and nobody reconstructs it later.</w:t>
      </w:r>
    </w:p>
    <w:p>
      <w:pPr>
        <w:spacing w:after="120"/>
      </w:pPr>
      <w:r>
        <w:t xml:space="preserve">Transaction terminated: </w:t>
      </w:r>
      <w:r>
        <w:rPr>
          <w:highlight w:val="yellow"/>
          <w:highlightCs w:val="yellow"/>
        </w:rPr>
        <w:t xml:space="preserve">[ ______________________ ]</w:t>
      </w:r>
    </w:p>
    <w:p>
      <w:pPr>
        <w:spacing w:after="120"/>
      </w:pPr>
      <w:r>
        <w:t xml:space="preserve">Retain until: </w:t>
      </w:r>
      <w:r>
        <w:rPr>
          <w:highlight w:val="yellow"/>
          <w:highlightCs w:val="yellow"/>
        </w:rPr>
        <w:t xml:space="preserve">[At least 5 years after termination]</w:t>
      </w:r>
    </w:p>
    <w:p>
      <w:pPr>
        <w:spacing w:after="120"/>
      </w:pPr>
      <w:r>
        <w:rPr>
          <w:highlight w:val="yellow"/>
          <w:highlightCs w:val="yellow"/>
        </w:rPr>
        <w:t xml:space="preserve">[Transaction termination date; retention date; where records are held]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closing statement on the Harbour Lane water loss, claim PC-2026-11482, insured D. Okonjo, settled 26 August 2026. Includes one compensation entry that had to be disclosed and should not have existed.</w:t>
      </w:r>
    </w:p>
    <w:p/>
    <w:p>
      <w:pPr>
        <w:pStyle w:val="Heading2"/>
      </w:pPr>
      <w:r>
        <w:t xml:space="preserve">Matter identification</w:t>
      </w:r>
    </w:p>
    <w:p>
      <w:pPr>
        <w:spacing w:after="120"/>
      </w:pPr>
      <w:r>
        <w:t xml:space="preserve">Insured: Daniel Okonjo.</w:t>
      </w:r>
    </w:p>
    <w:p>
      <w:pPr>
        <w:spacing w:after="120"/>
      </w:pPr>
      <w:r>
        <w:t xml:space="preserve">Loss: water damage, 41 Harbour Lane, [City]. Date of loss 14 July 2026. Final amount of loss $27,410.</w:t>
      </w:r>
    </w:p>
    <w:p>
      <w:pPr>
        <w:spacing w:after="120"/>
      </w:pPr>
      <w:r>
        <w:t xml:space="preserve">Insurer: [Carrier]. Policy HO-4471902, dwelling limit $340,000, expiring 1 March 2027.</w:t>
      </w:r>
    </w:p>
    <w:p>
      <w:pPr>
        <w:spacing w:after="120"/>
      </w:pPr>
      <w:r>
        <w:t xml:space="preserve">Contract executed by: T. Halvorsen, licence PA-118427, signed 5 August 2026.</w:t>
      </w:r>
    </w:p>
    <w:p>
      <w:pPr>
        <w:spacing w:after="120"/>
      </w:pPr>
      <w:r>
        <w:t xml:space="preserve">Carrier claim representative: R. Calloway. Insured's attorney: none instructed.</w:t>
      </w:r>
    </w:p>
    <w:p/>
    <w:p>
      <w:pPr>
        <w:pStyle w:val="Heading2"/>
      </w:pPr>
      <w:r>
        <w:t xml:space="preserve">Statement 1 — the insured's recoveries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Date</w:t>
            </w:r>
          </w:p>
        </w:tc>
        <w:tc>
          <w:tcPr>
            <w:tcMar>
              <w:top w:type="dxa" w:w="60"/>
              <w:left w:type="dxa" w:w="100"/>
              <w:bottom w:type="dxa" w:w="60"/>
              <w:right w:type="dxa" w:w="100"/>
            </w:tcMar>
          </w:tcPr>
          <w:p>
            <w:pPr>
              <w:spacing w:after="0"/>
            </w:pPr>
            <w:r>
              <w:rPr>
                <w:sz w:val="19"/>
                <w:szCs w:val="19"/>
              </w:rPr>
              <w:t xml:space="preserve">Payer</w:t>
            </w:r>
          </w:p>
        </w:tc>
        <w:tc>
          <w:tcPr>
            <w:tcMar>
              <w:top w:type="dxa" w:w="60"/>
              <w:left w:type="dxa" w:w="100"/>
              <w:bottom w:type="dxa" w:w="60"/>
              <w:right w:type="dxa" w:w="100"/>
            </w:tcMar>
          </w:tcPr>
          <w:p>
            <w:pPr>
              <w:spacing w:after="0"/>
            </w:pPr>
            <w:r>
              <w:rPr>
                <w:sz w:val="19"/>
                <w:szCs w:val="19"/>
              </w:rPr>
              <w:t xml:space="preserve">Amount</w:t>
            </w:r>
          </w:p>
        </w:tc>
        <w:tc>
          <w:tcPr>
            <w:tcMar>
              <w:top w:type="dxa" w:w="60"/>
              <w:left w:type="dxa" w:w="100"/>
              <w:bottom w:type="dxa" w:w="60"/>
              <w:right w:type="dxa" w:w="100"/>
            </w:tcMar>
          </w:tcPr>
          <w:p>
            <w:pPr>
              <w:spacing w:after="0"/>
            </w:pPr>
            <w:r>
              <w:rPr>
                <w:sz w:val="19"/>
                <w:szCs w:val="19"/>
              </w:rPr>
              <w:t xml:space="preserve">Covers</w:t>
            </w:r>
          </w:p>
        </w:tc>
        <w:tc>
          <w:tcPr>
            <w:tcMar>
              <w:top w:type="dxa" w:w="60"/>
              <w:left w:type="dxa" w:w="100"/>
              <w:bottom w:type="dxa" w:w="60"/>
              <w:right w:type="dxa" w:w="100"/>
            </w:tcMar>
          </w:tcPr>
          <w:p>
            <w:pPr>
              <w:spacing w:after="0"/>
            </w:pPr>
            <w:r>
              <w:rPr>
                <w:sz w:val="19"/>
                <w:szCs w:val="19"/>
              </w:rPr>
              <w:t xml:space="preserve">Pre/post contract</w:t>
            </w:r>
          </w:p>
        </w:tc>
      </w:tr>
      <w:tr>
        <w:trPr>
          <w:tblHeader w:val="false"/>
        </w:trPr>
        <w:tc>
          <w:tcPr>
            <w:tcMar>
              <w:top w:type="dxa" w:w="60"/>
              <w:left w:type="dxa" w:w="100"/>
              <w:bottom w:type="dxa" w:w="60"/>
              <w:right w:type="dxa" w:w="100"/>
            </w:tcMar>
          </w:tcPr>
          <w:p>
            <w:pPr>
              <w:spacing w:after="0"/>
            </w:pPr>
            <w:r>
              <w:rPr>
                <w:sz w:val="19"/>
                <w:szCs w:val="19"/>
              </w:rPr>
              <w:t xml:space="preserve">21 Jul 2026</w:t>
            </w:r>
          </w:p>
        </w:tc>
        <w:tc>
          <w:tcPr>
            <w:tcMar>
              <w:top w:type="dxa" w:w="60"/>
              <w:left w:type="dxa" w:w="100"/>
              <w:bottom w:type="dxa" w:w="60"/>
              <w:right w:type="dxa" w:w="100"/>
            </w:tcMar>
          </w:tcPr>
          <w:p>
            <w:pPr>
              <w:spacing w:after="0"/>
            </w:pPr>
            <w:r>
              <w:rPr>
                <w:sz w:val="19"/>
                <w:szCs w:val="19"/>
                <w:highlight w:val="yellow"/>
                <w:highlightCs w:val="yellow"/>
              </w:rPr>
              <w:t xml:space="preserve">[Carrier]</w:t>
            </w:r>
          </w:p>
        </w:tc>
        <w:tc>
          <w:tcPr>
            <w:tcMar>
              <w:top w:type="dxa" w:w="60"/>
              <w:left w:type="dxa" w:w="100"/>
              <w:bottom w:type="dxa" w:w="60"/>
              <w:right w:type="dxa" w:w="100"/>
            </w:tcMar>
          </w:tcPr>
          <w:p>
            <w:pPr>
              <w:spacing w:after="0"/>
            </w:pPr>
            <w:r>
              <w:rPr>
                <w:sz w:val="19"/>
                <w:szCs w:val="19"/>
              </w:rPr>
              <w:t xml:space="preserve">$4,000.00</w:t>
            </w:r>
          </w:p>
        </w:tc>
        <w:tc>
          <w:tcPr>
            <w:tcMar>
              <w:top w:type="dxa" w:w="60"/>
              <w:left w:type="dxa" w:w="100"/>
              <w:bottom w:type="dxa" w:w="60"/>
              <w:right w:type="dxa" w:w="100"/>
            </w:tcMar>
          </w:tcPr>
          <w:p>
            <w:pPr>
              <w:spacing w:after="0"/>
            </w:pPr>
            <w:r>
              <w:rPr>
                <w:sz w:val="19"/>
                <w:szCs w:val="19"/>
              </w:rPr>
              <w:t xml:space="preserve">Emergency mitigation and drying</w:t>
            </w:r>
          </w:p>
        </w:tc>
        <w:tc>
          <w:tcPr>
            <w:tcMar>
              <w:top w:type="dxa" w:w="60"/>
              <w:left w:type="dxa" w:w="100"/>
              <w:bottom w:type="dxa" w:w="60"/>
              <w:right w:type="dxa" w:w="100"/>
            </w:tcMar>
          </w:tcPr>
          <w:p>
            <w:pPr>
              <w:spacing w:after="0"/>
            </w:pPr>
            <w:r>
              <w:rPr>
                <w:sz w:val="19"/>
                <w:szCs w:val="19"/>
              </w:rPr>
              <w:t xml:space="preserve">PRE</w:t>
            </w:r>
          </w:p>
        </w:tc>
      </w:tr>
      <w:tr>
        <w:trPr>
          <w:tblHeader w:val="false"/>
        </w:trPr>
        <w:tc>
          <w:tcPr>
            <w:tcMar>
              <w:top w:type="dxa" w:w="60"/>
              <w:left w:type="dxa" w:w="100"/>
              <w:bottom w:type="dxa" w:w="60"/>
              <w:right w:type="dxa" w:w="100"/>
            </w:tcMar>
          </w:tcPr>
          <w:p>
            <w:pPr>
              <w:spacing w:after="0"/>
            </w:pPr>
            <w:r>
              <w:rPr>
                <w:sz w:val="19"/>
                <w:szCs w:val="19"/>
              </w:rPr>
              <w:t xml:space="preserve">31 Jul 2026</w:t>
            </w:r>
          </w:p>
        </w:tc>
        <w:tc>
          <w:tcPr>
            <w:tcMar>
              <w:top w:type="dxa" w:w="60"/>
              <w:left w:type="dxa" w:w="100"/>
              <w:bottom w:type="dxa" w:w="60"/>
              <w:right w:type="dxa" w:w="100"/>
            </w:tcMar>
          </w:tcPr>
          <w:p>
            <w:pPr>
              <w:spacing w:after="0"/>
            </w:pPr>
            <w:r>
              <w:rPr>
                <w:sz w:val="19"/>
                <w:szCs w:val="19"/>
                <w:highlight w:val="yellow"/>
                <w:highlightCs w:val="yellow"/>
              </w:rPr>
              <w:t xml:space="preserve">[Carrier]</w:t>
            </w:r>
          </w:p>
        </w:tc>
        <w:tc>
          <w:tcPr>
            <w:tcMar>
              <w:top w:type="dxa" w:w="60"/>
              <w:left w:type="dxa" w:w="100"/>
              <w:bottom w:type="dxa" w:w="60"/>
              <w:right w:type="dxa" w:w="100"/>
            </w:tcMar>
          </w:tcPr>
          <w:p>
            <w:pPr>
              <w:spacing w:after="0"/>
            </w:pPr>
            <w:r>
              <w:rPr>
                <w:sz w:val="19"/>
                <w:szCs w:val="19"/>
              </w:rPr>
              <w:t xml:space="preserve">$2,200.00</w:t>
            </w:r>
          </w:p>
        </w:tc>
        <w:tc>
          <w:tcPr>
            <w:tcMar>
              <w:top w:type="dxa" w:w="60"/>
              <w:left w:type="dxa" w:w="100"/>
              <w:bottom w:type="dxa" w:w="60"/>
              <w:right w:type="dxa" w:w="100"/>
            </w:tcMar>
          </w:tcPr>
          <w:p>
            <w:pPr>
              <w:spacing w:after="0"/>
            </w:pPr>
            <w:r>
              <w:rPr>
                <w:sz w:val="19"/>
                <w:szCs w:val="19"/>
              </w:rPr>
              <w:t xml:space="preserve">Initial dwelling payment on $18,340 estimate</w:t>
            </w:r>
          </w:p>
        </w:tc>
        <w:tc>
          <w:tcPr>
            <w:tcMar>
              <w:top w:type="dxa" w:w="60"/>
              <w:left w:type="dxa" w:w="100"/>
              <w:bottom w:type="dxa" w:w="60"/>
              <w:right w:type="dxa" w:w="100"/>
            </w:tcMar>
          </w:tcPr>
          <w:p>
            <w:pPr>
              <w:spacing w:after="0"/>
            </w:pPr>
            <w:r>
              <w:rPr>
                <w:sz w:val="19"/>
                <w:szCs w:val="19"/>
              </w:rPr>
              <w:t xml:space="preserve">PRE</w:t>
            </w:r>
          </w:p>
        </w:tc>
      </w:tr>
      <w:tr>
        <w:trPr>
          <w:tblHeader w:val="false"/>
        </w:trPr>
        <w:tc>
          <w:tcPr>
            <w:tcMar>
              <w:top w:type="dxa" w:w="60"/>
              <w:left w:type="dxa" w:w="100"/>
              <w:bottom w:type="dxa" w:w="60"/>
              <w:right w:type="dxa" w:w="100"/>
            </w:tcMar>
          </w:tcPr>
          <w:p>
            <w:pPr>
              <w:spacing w:after="0"/>
            </w:pPr>
            <w:r>
              <w:rPr>
                <w:sz w:val="19"/>
                <w:szCs w:val="19"/>
              </w:rPr>
              <w:t xml:space="preserve">26 Aug 2026</w:t>
            </w:r>
          </w:p>
        </w:tc>
        <w:tc>
          <w:tcPr>
            <w:tcMar>
              <w:top w:type="dxa" w:w="60"/>
              <w:left w:type="dxa" w:w="100"/>
              <w:bottom w:type="dxa" w:w="60"/>
              <w:right w:type="dxa" w:w="100"/>
            </w:tcMar>
          </w:tcPr>
          <w:p>
            <w:pPr>
              <w:spacing w:after="0"/>
            </w:pPr>
            <w:r>
              <w:rPr>
                <w:sz w:val="19"/>
                <w:szCs w:val="19"/>
                <w:highlight w:val="yellow"/>
                <w:highlightCs w:val="yellow"/>
              </w:rPr>
              <w:t xml:space="preserve">[Carrier]</w:t>
            </w:r>
          </w:p>
        </w:tc>
        <w:tc>
          <w:tcPr>
            <w:tcMar>
              <w:top w:type="dxa" w:w="60"/>
              <w:left w:type="dxa" w:w="100"/>
              <w:bottom w:type="dxa" w:w="60"/>
              <w:right w:type="dxa" w:w="100"/>
            </w:tcMar>
          </w:tcPr>
          <w:p>
            <w:pPr>
              <w:spacing w:after="0"/>
            </w:pPr>
            <w:r>
              <w:rPr>
                <w:sz w:val="19"/>
                <w:szCs w:val="19"/>
              </w:rPr>
              <w:t xml:space="preserve">$19,110.00</w:t>
            </w:r>
          </w:p>
        </w:tc>
        <w:tc>
          <w:tcPr>
            <w:tcMar>
              <w:top w:type="dxa" w:w="60"/>
              <w:left w:type="dxa" w:w="100"/>
              <w:bottom w:type="dxa" w:w="60"/>
              <w:right w:type="dxa" w:w="100"/>
            </w:tcMar>
          </w:tcPr>
          <w:p>
            <w:pPr>
              <w:spacing w:after="0"/>
            </w:pPr>
            <w:r>
              <w:rPr>
                <w:sz w:val="19"/>
                <w:szCs w:val="19"/>
              </w:rPr>
              <w:t xml:space="preserve">Balance of agreed dwelling repair</w:t>
            </w:r>
          </w:p>
        </w:tc>
        <w:tc>
          <w:tcPr>
            <w:tcMar>
              <w:top w:type="dxa" w:w="60"/>
              <w:left w:type="dxa" w:w="100"/>
              <w:bottom w:type="dxa" w:w="60"/>
              <w:right w:type="dxa" w:w="100"/>
            </w:tcMar>
          </w:tcPr>
          <w:p>
            <w:pPr>
              <w:spacing w:after="0"/>
            </w:pPr>
            <w:r>
              <w:rPr>
                <w:sz w:val="19"/>
                <w:szCs w:val="19"/>
              </w:rPr>
              <w:t xml:space="preserve">POST</w:t>
            </w:r>
          </w:p>
        </w:tc>
      </w:tr>
      <w:tr>
        <w:trPr>
          <w:tblHeader w:val="false"/>
        </w:trPr>
        <w:tc>
          <w:tcPr>
            <w:tcMar>
              <w:top w:type="dxa" w:w="60"/>
              <w:left w:type="dxa" w:w="100"/>
              <w:bottom w:type="dxa" w:w="60"/>
              <w:right w:type="dxa" w:w="100"/>
            </w:tcMar>
          </w:tcPr>
          <w:p>
            <w:pPr>
              <w:spacing w:after="0"/>
            </w:pPr>
            <w:r>
              <w:rPr>
                <w:sz w:val="19"/>
                <w:szCs w:val="19"/>
              </w:rPr>
              <w:t xml:space="preserve">26 Aug 2026</w:t>
            </w:r>
          </w:p>
        </w:tc>
        <w:tc>
          <w:tcPr>
            <w:tcMar>
              <w:top w:type="dxa" w:w="60"/>
              <w:left w:type="dxa" w:w="100"/>
              <w:bottom w:type="dxa" w:w="60"/>
              <w:right w:type="dxa" w:w="100"/>
            </w:tcMar>
          </w:tcPr>
          <w:p>
            <w:pPr>
              <w:spacing w:after="0"/>
            </w:pPr>
            <w:r>
              <w:rPr>
                <w:sz w:val="19"/>
                <w:szCs w:val="19"/>
                <w:highlight w:val="yellow"/>
                <w:highlightCs w:val="yellow"/>
              </w:rPr>
              <w:t xml:space="preserve">[Carrier]</w:t>
            </w:r>
          </w:p>
        </w:tc>
        <w:tc>
          <w:tcPr>
            <w:tcMar>
              <w:top w:type="dxa" w:w="60"/>
              <w:left w:type="dxa" w:w="100"/>
              <w:bottom w:type="dxa" w:w="60"/>
              <w:right w:type="dxa" w:w="100"/>
            </w:tcMar>
          </w:tcPr>
          <w:p>
            <w:pPr>
              <w:spacing w:after="0"/>
            </w:pPr>
            <w:r>
              <w:rPr>
                <w:sz w:val="19"/>
                <w:szCs w:val="19"/>
              </w:rPr>
              <w:t xml:space="preserve">$2,100.00</w:t>
            </w:r>
          </w:p>
        </w:tc>
        <w:tc>
          <w:tcPr>
            <w:tcMar>
              <w:top w:type="dxa" w:w="60"/>
              <w:left w:type="dxa" w:w="100"/>
              <w:bottom w:type="dxa" w:w="60"/>
              <w:right w:type="dxa" w:w="100"/>
            </w:tcMar>
          </w:tcPr>
          <w:p>
            <w:pPr>
              <w:spacing w:after="0"/>
            </w:pPr>
            <w:r>
              <w:rPr>
                <w:sz w:val="19"/>
                <w:szCs w:val="19"/>
              </w:rPr>
              <w:t xml:space="preserve">Contents</w:t>
            </w:r>
          </w:p>
        </w:tc>
        <w:tc>
          <w:tcPr>
            <w:tcMar>
              <w:top w:type="dxa" w:w="60"/>
              <w:left w:type="dxa" w:w="100"/>
              <w:bottom w:type="dxa" w:w="60"/>
              <w:right w:type="dxa" w:w="100"/>
            </w:tcMar>
          </w:tcPr>
          <w:p>
            <w:pPr>
              <w:spacing w:after="0"/>
            </w:pPr>
            <w:r>
              <w:rPr>
                <w:sz w:val="19"/>
                <w:szCs w:val="19"/>
              </w:rPr>
              <w:t xml:space="preserve">POST</w:t>
            </w:r>
          </w:p>
        </w:tc>
      </w:tr>
    </w:tbl>
    <w:p/>
    <w:p>
      <w:pPr>
        <w:spacing w:after="120"/>
      </w:pPr>
      <w:r>
        <w:t xml:space="preserve">Total recovered: $27,410.00</w:t>
      </w:r>
    </w:p>
    <w:p>
      <w:pPr>
        <w:spacing w:after="120"/>
      </w:pPr>
      <w:r>
        <w:t xml:space="preserve">Recovered before contract date: $6,200.00</w:t>
      </w:r>
    </w:p>
    <w:p>
      <w:pPr>
        <w:spacing w:after="120"/>
      </w:pPr>
      <w:r>
        <w:t xml:space="preserve">Recovered after contract date: $21,210.00 — this is the fee base.</w:t>
      </w:r>
    </w:p>
    <w:p/>
    <w:p>
      <w:pPr>
        <w:spacing w:after="120"/>
      </w:pPr>
      <w:r>
        <w:t xml:space="preserve">The pre/post column is the whole point of the statement. Without it the fee is a number the insured has to take on trust; with it, he can check it in about fifteen seconds. The $6,200 was in his hands before Merrow was engaged and no fee is charged on it, which is what the contract said and what this shows.</w:t>
      </w:r>
    </w:p>
    <w:p/>
    <w:p>
      <w:pPr>
        <w:pStyle w:val="Heading2"/>
      </w:pPr>
      <w:r>
        <w:t xml:space="preserve">Statement 2 — all compensation received, from any source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Date</w:t>
            </w:r>
          </w:p>
        </w:tc>
        <w:tc>
          <w:tcPr>
            <w:tcMar>
              <w:top w:type="dxa" w:w="60"/>
              <w:left w:type="dxa" w:w="100"/>
              <w:bottom w:type="dxa" w:w="60"/>
              <w:right w:type="dxa" w:w="100"/>
            </w:tcMar>
          </w:tcPr>
          <w:p>
            <w:pPr>
              <w:spacing w:after="0"/>
            </w:pPr>
            <w:r>
              <w:rPr>
                <w:sz w:val="19"/>
                <w:szCs w:val="19"/>
              </w:rPr>
              <w:t xml:space="preserve">Source</w:t>
            </w:r>
          </w:p>
        </w:tc>
        <w:tc>
          <w:tcPr>
            <w:tcMar>
              <w:top w:type="dxa" w:w="60"/>
              <w:left w:type="dxa" w:w="100"/>
              <w:bottom w:type="dxa" w:w="60"/>
              <w:right w:type="dxa" w:w="100"/>
            </w:tcMar>
          </w:tcPr>
          <w:p>
            <w:pPr>
              <w:spacing w:after="0"/>
            </w:pPr>
            <w:r>
              <w:rPr>
                <w:sz w:val="19"/>
                <w:szCs w:val="19"/>
              </w:rPr>
              <w:t xml:space="preserve">Amount</w:t>
            </w:r>
          </w:p>
        </w:tc>
        <w:tc>
          <w:tcPr>
            <w:tcMar>
              <w:top w:type="dxa" w:w="60"/>
              <w:left w:type="dxa" w:w="100"/>
              <w:bottom w:type="dxa" w:w="60"/>
              <w:right w:type="dxa" w:w="100"/>
            </w:tcMar>
          </w:tcPr>
          <w:p>
            <w:pPr>
              <w:spacing w:after="0"/>
            </w:pPr>
            <w:r>
              <w:rPr>
                <w:sz w:val="19"/>
                <w:szCs w:val="19"/>
              </w:rPr>
              <w:t xml:space="preserve">Basis</w:t>
            </w:r>
          </w:p>
        </w:tc>
        <w:tc>
          <w:tcPr>
            <w:tcMar>
              <w:top w:type="dxa" w:w="60"/>
              <w:left w:type="dxa" w:w="100"/>
              <w:bottom w:type="dxa" w:w="60"/>
              <w:right w:type="dxa" w:w="100"/>
            </w:tcMar>
          </w:tcPr>
          <w:p>
            <w:pPr>
              <w:spacing w:after="0"/>
            </w:pPr>
            <w:r>
              <w:rPr>
                <w:sz w:val="19"/>
                <w:szCs w:val="19"/>
              </w:rPr>
              <w:t xml:space="preserve">Disclosed in writing?</w:t>
            </w:r>
          </w:p>
        </w:tc>
      </w:tr>
      <w:tr>
        <w:trPr>
          <w:tblHeader w:val="false"/>
        </w:trPr>
        <w:tc>
          <w:tcPr>
            <w:tcMar>
              <w:top w:type="dxa" w:w="60"/>
              <w:left w:type="dxa" w:w="100"/>
              <w:bottom w:type="dxa" w:w="60"/>
              <w:right w:type="dxa" w:w="100"/>
            </w:tcMar>
          </w:tcPr>
          <w:p>
            <w:pPr>
              <w:spacing w:after="0"/>
            </w:pPr>
            <w:r>
              <w:rPr>
                <w:sz w:val="19"/>
                <w:szCs w:val="19"/>
              </w:rPr>
              <w:t xml:space="preserve">26 Aug 2026</w:t>
            </w:r>
          </w:p>
        </w:tc>
        <w:tc>
          <w:tcPr>
            <w:tcMar>
              <w:top w:type="dxa" w:w="60"/>
              <w:left w:type="dxa" w:w="100"/>
              <w:bottom w:type="dxa" w:w="60"/>
              <w:right w:type="dxa" w:w="100"/>
            </w:tcMar>
          </w:tcPr>
          <w:p>
            <w:pPr>
              <w:spacing w:after="0"/>
            </w:pPr>
            <w:r>
              <w:rPr>
                <w:sz w:val="19"/>
                <w:szCs w:val="19"/>
              </w:rPr>
              <w:t xml:space="preserve">D. Okonjo</w:t>
            </w:r>
          </w:p>
        </w:tc>
        <w:tc>
          <w:tcPr>
            <w:tcMar>
              <w:top w:type="dxa" w:w="60"/>
              <w:left w:type="dxa" w:w="100"/>
              <w:bottom w:type="dxa" w:w="60"/>
              <w:right w:type="dxa" w:w="100"/>
            </w:tcMar>
          </w:tcPr>
          <w:p>
            <w:pPr>
              <w:spacing w:after="0"/>
            </w:pPr>
            <w:r>
              <w:rPr>
                <w:sz w:val="19"/>
                <w:szCs w:val="19"/>
              </w:rPr>
              <w:t xml:space="preserve">$2,121.00</w:t>
            </w:r>
          </w:p>
        </w:tc>
        <w:tc>
          <w:tcPr>
            <w:tcMar>
              <w:top w:type="dxa" w:w="60"/>
              <w:left w:type="dxa" w:w="100"/>
              <w:bottom w:type="dxa" w:w="60"/>
              <w:right w:type="dxa" w:w="100"/>
            </w:tcMar>
          </w:tcPr>
          <w:p>
            <w:pPr>
              <w:spacing w:after="0"/>
            </w:pPr>
            <w:r>
              <w:rPr>
                <w:sz w:val="19"/>
                <w:szCs w:val="19"/>
              </w:rPr>
              <w:t xml:space="preserve">10% of $21,210 recovered post-contract</w:t>
            </w:r>
          </w:p>
        </w:tc>
        <w:tc>
          <w:tcPr>
            <w:tcMar>
              <w:top w:type="dxa" w:w="60"/>
              <w:left w:type="dxa" w:w="100"/>
              <w:bottom w:type="dxa" w:w="60"/>
              <w:right w:type="dxa" w:w="100"/>
            </w:tcMar>
          </w:tcPr>
          <w:p>
            <w:pPr>
              <w:spacing w:after="0"/>
            </w:pPr>
            <w:r>
              <w:rPr>
                <w:sz w:val="19"/>
                <w:szCs w:val="19"/>
              </w:rPr>
              <w:t xml:space="preserve">Yes — contract 5 Aug 2026</w:t>
            </w:r>
          </w:p>
        </w:tc>
      </w:tr>
      <w:tr>
        <w:trPr>
          <w:tblHeader w:val="false"/>
        </w:trPr>
        <w:tc>
          <w:tcPr>
            <w:tcMar>
              <w:top w:type="dxa" w:w="60"/>
              <w:left w:type="dxa" w:w="100"/>
              <w:bottom w:type="dxa" w:w="60"/>
              <w:right w:type="dxa" w:w="100"/>
            </w:tcMar>
          </w:tcPr>
          <w:p>
            <w:pPr>
              <w:spacing w:after="0"/>
            </w:pPr>
            <w:r>
              <w:rPr>
                <w:sz w:val="19"/>
                <w:szCs w:val="19"/>
              </w:rPr>
              <w:t xml:space="preserve">26 Aug 2026</w:t>
            </w:r>
          </w:p>
        </w:tc>
        <w:tc>
          <w:tcPr>
            <w:tcMar>
              <w:top w:type="dxa" w:w="60"/>
              <w:left w:type="dxa" w:w="100"/>
              <w:bottom w:type="dxa" w:w="60"/>
              <w:right w:type="dxa" w:w="100"/>
            </w:tcMar>
          </w:tcPr>
          <w:p>
            <w:pPr>
              <w:spacing w:after="0"/>
            </w:pPr>
            <w:r>
              <w:rPr>
                <w:sz w:val="19"/>
                <w:szCs w:val="19"/>
              </w:rPr>
              <w:t xml:space="preserve">D. Okonjo</w:t>
            </w:r>
          </w:p>
        </w:tc>
        <w:tc>
          <w:tcPr>
            <w:tcMar>
              <w:top w:type="dxa" w:w="60"/>
              <w:left w:type="dxa" w:w="100"/>
              <w:bottom w:type="dxa" w:w="60"/>
              <w:right w:type="dxa" w:w="100"/>
            </w:tcMar>
          </w:tcPr>
          <w:p>
            <w:pPr>
              <w:spacing w:after="0"/>
            </w:pPr>
            <w:r>
              <w:rPr>
                <w:sz w:val="19"/>
                <w:szCs w:val="19"/>
              </w:rPr>
              <w:t xml:space="preserve">$610.00</w:t>
            </w:r>
          </w:p>
        </w:tc>
        <w:tc>
          <w:tcPr>
            <w:tcMar>
              <w:top w:type="dxa" w:w="60"/>
              <w:left w:type="dxa" w:w="100"/>
              <w:bottom w:type="dxa" w:w="60"/>
              <w:right w:type="dxa" w:w="100"/>
            </w:tcMar>
          </w:tcPr>
          <w:p>
            <w:pPr>
              <w:spacing w:after="0"/>
            </w:pPr>
            <w:r>
              <w:rPr>
                <w:sz w:val="19"/>
                <w:szCs w:val="19"/>
              </w:rPr>
              <w:t xml:space="preserve">Reimbursed expenses, itemised below</w:t>
            </w:r>
          </w:p>
        </w:tc>
        <w:tc>
          <w:tcPr>
            <w:tcMar>
              <w:top w:type="dxa" w:w="60"/>
              <w:left w:type="dxa" w:w="100"/>
              <w:bottom w:type="dxa" w:w="60"/>
              <w:right w:type="dxa" w:w="100"/>
            </w:tcMar>
          </w:tcPr>
          <w:p>
            <w:pPr>
              <w:spacing w:after="0"/>
            </w:pPr>
            <w:r>
              <w:rPr>
                <w:sz w:val="19"/>
                <w:szCs w:val="19"/>
              </w:rPr>
              <w:t xml:space="preserve">Yes — contract 5 Aug 2026</w:t>
            </w:r>
          </w:p>
        </w:tc>
      </w:tr>
      <w:tr>
        <w:trPr>
          <w:tblHeader w:val="false"/>
        </w:trPr>
        <w:tc>
          <w:tcPr>
            <w:tcMar>
              <w:top w:type="dxa" w:w="60"/>
              <w:left w:type="dxa" w:w="100"/>
              <w:bottom w:type="dxa" w:w="60"/>
              <w:right w:type="dxa" w:w="100"/>
            </w:tcMar>
          </w:tcPr>
          <w:p>
            <w:pPr>
              <w:spacing w:after="0"/>
            </w:pPr>
            <w:r>
              <w:rPr>
                <w:sz w:val="19"/>
                <w:szCs w:val="19"/>
              </w:rPr>
              <w:t xml:space="preserve">14 Aug 2026</w:t>
            </w:r>
          </w:p>
        </w:tc>
        <w:tc>
          <w:tcPr>
            <w:tcMar>
              <w:top w:type="dxa" w:w="60"/>
              <w:left w:type="dxa" w:w="100"/>
              <w:bottom w:type="dxa" w:w="60"/>
              <w:right w:type="dxa" w:w="100"/>
            </w:tcMar>
          </w:tcPr>
          <w:p>
            <w:pPr>
              <w:spacing w:after="0"/>
            </w:pPr>
            <w:r>
              <w:rPr>
                <w:sz w:val="19"/>
                <w:szCs w:val="19"/>
              </w:rPr>
              <w:t xml:space="preserve">Kestrel Restoration LLC</w:t>
            </w:r>
          </w:p>
        </w:tc>
        <w:tc>
          <w:tcPr>
            <w:tcMar>
              <w:top w:type="dxa" w:w="60"/>
              <w:left w:type="dxa" w:w="100"/>
              <w:bottom w:type="dxa" w:w="60"/>
              <w:right w:type="dxa" w:w="100"/>
            </w:tcMar>
          </w:tcPr>
          <w:p>
            <w:pPr>
              <w:spacing w:after="0"/>
            </w:pPr>
            <w:r>
              <w:rPr>
                <w:sz w:val="19"/>
                <w:szCs w:val="19"/>
              </w:rPr>
              <w:t xml:space="preserve">$150.00</w:t>
            </w:r>
          </w:p>
        </w:tc>
        <w:tc>
          <w:tcPr>
            <w:tcMar>
              <w:top w:type="dxa" w:w="60"/>
              <w:left w:type="dxa" w:w="100"/>
              <w:bottom w:type="dxa" w:w="60"/>
              <w:right w:type="dxa" w:w="100"/>
            </w:tcMar>
          </w:tcPr>
          <w:p>
            <w:pPr>
              <w:spacing w:after="0"/>
            </w:pPr>
            <w:r>
              <w:rPr>
                <w:sz w:val="19"/>
                <w:szCs w:val="19"/>
              </w:rPr>
              <w:t xml:space="preserve">Unsolicited 'referral appreciation'</w:t>
            </w:r>
          </w:p>
        </w:tc>
        <w:tc>
          <w:tcPr>
            <w:tcMar>
              <w:top w:type="dxa" w:w="60"/>
              <w:left w:type="dxa" w:w="100"/>
              <w:bottom w:type="dxa" w:w="60"/>
              <w:right w:type="dxa" w:w="100"/>
            </w:tcMar>
          </w:tcPr>
          <w:p>
            <w:pPr>
              <w:spacing w:after="0"/>
            </w:pPr>
            <w:r>
              <w:rPr>
                <w:sz w:val="19"/>
                <w:szCs w:val="19"/>
              </w:rPr>
              <w:t xml:space="preserve">Yes — disclosed 17 Aug 2026, returned 18 Aug 2026</w:t>
            </w:r>
          </w:p>
        </w:tc>
      </w:tr>
    </w:tbl>
    <w:p/>
    <w:p>
      <w:pPr>
        <w:spacing w:after="120"/>
      </w:pPr>
      <w:r>
        <w:t xml:space="preserve">Total compensation received and retained: $2,731.00</w:t>
      </w:r>
    </w:p>
    <w:p/>
    <w:p>
      <w:pPr>
        <w:spacing w:after="120"/>
      </w:pPr>
      <w:r>
        <w:t xml:space="preserve">The third line is why this statement says 'from any source whatsoever'. Kestrel is the mitigation contractor Mr Okonjo had already engaged before Merrow was involved; no referral was made by this firm. Kestrel sent $150 unprompted on 14 August under a standing internal practice.</w:t>
      </w:r>
    </w:p>
    <w:p/>
    <w:p>
      <w:pPr>
        <w:spacing w:after="120"/>
      </w:pPr>
      <w:r>
        <w:t xml:space="preserve">It was disclosed to Mr Okonjo in writing on 17 August with its source and amount, and returned to Kestrel on 18 August with a letter asking that no further payments be sent. It appears on this statement even though it was returned, because a statement of compensation received that omits compensation received is not the record the act requires — and because 'we gave it back' is a much better sentence when the entry is on the statement than when an examiner finds it in a bank register that has no matching line.</w:t>
      </w:r>
    </w:p>
    <w:p/>
    <w:p>
      <w:pPr>
        <w:spacing w:after="120"/>
      </w:pPr>
      <w:r>
        <w:t xml:space="preserve">A public adjuster may not have a financial interest in any aspect of the claim beyond the contracted fee, and may not receive compensation for referring an insured to a repairer. Retaining the $150 would have breached both.</w:t>
      </w:r>
    </w:p>
    <w:p/>
    <w:p>
      <w:pPr>
        <w:pStyle w:val="Heading2"/>
      </w:pPr>
      <w:r>
        <w:t xml:space="preserve">Expenses reimbursed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Type</w:t>
            </w:r>
          </w:p>
        </w:tc>
        <w:tc>
          <w:tcPr>
            <w:tcMar>
              <w:top w:type="dxa" w:w="60"/>
              <w:left w:type="dxa" w:w="100"/>
              <w:bottom w:type="dxa" w:w="60"/>
              <w:right w:type="dxa" w:w="100"/>
            </w:tcMar>
          </w:tcPr>
          <w:p>
            <w:pPr>
              <w:spacing w:after="0"/>
            </w:pPr>
            <w:r>
              <w:rPr>
                <w:sz w:val="19"/>
                <w:szCs w:val="19"/>
              </w:rPr>
              <w:t xml:space="preserve">Contract estimate</w:t>
            </w:r>
          </w:p>
        </w:tc>
        <w:tc>
          <w:tcPr>
            <w:tcMar>
              <w:top w:type="dxa" w:w="60"/>
              <w:left w:type="dxa" w:w="100"/>
              <w:bottom w:type="dxa" w:w="60"/>
              <w:right w:type="dxa" w:w="100"/>
            </w:tcMar>
          </w:tcPr>
          <w:p>
            <w:pPr>
              <w:spacing w:after="0"/>
            </w:pPr>
            <w:r>
              <w:rPr>
                <w:sz w:val="19"/>
                <w:szCs w:val="19"/>
              </w:rPr>
              <w:t xml:space="preserve">Actual</w:t>
            </w:r>
          </w:p>
        </w:tc>
        <w:tc>
          <w:tcPr>
            <w:tcMar>
              <w:top w:type="dxa" w:w="60"/>
              <w:left w:type="dxa" w:w="100"/>
              <w:bottom w:type="dxa" w:w="60"/>
              <w:right w:type="dxa" w:w="100"/>
            </w:tcMar>
          </w:tcPr>
          <w:p>
            <w:pPr>
              <w:spacing w:after="0"/>
            </w:pPr>
            <w:r>
              <w:rPr>
                <w:sz w:val="19"/>
                <w:szCs w:val="19"/>
              </w:rPr>
              <w:t xml:space="preserve">Approval</w:t>
            </w:r>
          </w:p>
        </w:tc>
      </w:tr>
      <w:tr>
        <w:trPr>
          <w:tblHeader w:val="false"/>
        </w:trPr>
        <w:tc>
          <w:tcPr>
            <w:tcMar>
              <w:top w:type="dxa" w:w="60"/>
              <w:left w:type="dxa" w:w="100"/>
              <w:bottom w:type="dxa" w:w="60"/>
              <w:right w:type="dxa" w:w="100"/>
            </w:tcMar>
          </w:tcPr>
          <w:p>
            <w:pPr>
              <w:spacing w:after="0"/>
            </w:pPr>
            <w:r>
              <w:rPr>
                <w:sz w:val="19"/>
                <w:szCs w:val="19"/>
              </w:rPr>
              <w:t xml:space="preserve">Independent moisture mapping and drying assessment</w:t>
            </w:r>
          </w:p>
        </w:tc>
        <w:tc>
          <w:tcPr>
            <w:tcMar>
              <w:top w:type="dxa" w:w="60"/>
              <w:left w:type="dxa" w:w="100"/>
              <w:bottom w:type="dxa" w:w="60"/>
              <w:right w:type="dxa" w:w="100"/>
            </w:tcMar>
          </w:tcPr>
          <w:p>
            <w:pPr>
              <w:spacing w:after="0"/>
            </w:pPr>
            <w:r>
              <w:rPr>
                <w:sz w:val="19"/>
                <w:szCs w:val="19"/>
              </w:rPr>
              <w:t xml:space="preserve">$450</w:t>
            </w:r>
          </w:p>
        </w:tc>
        <w:tc>
          <w:tcPr>
            <w:tcMar>
              <w:top w:type="dxa" w:w="60"/>
              <w:left w:type="dxa" w:w="100"/>
              <w:bottom w:type="dxa" w:w="60"/>
              <w:right w:type="dxa" w:w="100"/>
            </w:tcMar>
          </w:tcPr>
          <w:p>
            <w:pPr>
              <w:spacing w:after="0"/>
            </w:pPr>
            <w:r>
              <w:rPr>
                <w:sz w:val="19"/>
                <w:szCs w:val="19"/>
              </w:rPr>
              <w:t xml:space="preserve">$450.00</w:t>
            </w:r>
          </w:p>
        </w:tc>
        <w:tc>
          <w:tcPr>
            <w:tcMar>
              <w:top w:type="dxa" w:w="60"/>
              <w:left w:type="dxa" w:w="100"/>
              <w:bottom w:type="dxa" w:w="60"/>
              <w:right w:type="dxa" w:w="100"/>
            </w:tcMar>
          </w:tcPr>
          <w:p>
            <w:pPr>
              <w:spacing w:after="0"/>
            </w:pPr>
            <w:r>
              <w:rPr>
                <w:sz w:val="19"/>
                <w:szCs w:val="19"/>
              </w:rPr>
              <w:t xml:space="preserve">Within estimate</w:t>
            </w:r>
          </w:p>
        </w:tc>
      </w:tr>
      <w:tr>
        <w:trPr>
          <w:tblHeader w:val="false"/>
        </w:trPr>
        <w:tc>
          <w:tcPr>
            <w:tcMar>
              <w:top w:type="dxa" w:w="60"/>
              <w:left w:type="dxa" w:w="100"/>
              <w:bottom w:type="dxa" w:w="60"/>
              <w:right w:type="dxa" w:w="100"/>
            </w:tcMar>
          </w:tcPr>
          <w:p>
            <w:pPr>
              <w:spacing w:after="0"/>
            </w:pPr>
            <w:r>
              <w:rPr>
                <w:sz w:val="19"/>
                <w:szCs w:val="19"/>
              </w:rPr>
              <w:t xml:space="preserve">Certified contents inventory support</w:t>
            </w:r>
          </w:p>
        </w:tc>
        <w:tc>
          <w:tcPr>
            <w:tcMar>
              <w:top w:type="dxa" w:w="60"/>
              <w:left w:type="dxa" w:w="100"/>
              <w:bottom w:type="dxa" w:w="60"/>
              <w:right w:type="dxa" w:w="100"/>
            </w:tcMar>
          </w:tcPr>
          <w:p>
            <w:pPr>
              <w:spacing w:after="0"/>
            </w:pPr>
            <w:r>
              <w:rPr>
                <w:sz w:val="19"/>
                <w:szCs w:val="19"/>
              </w:rPr>
              <w:t xml:space="preserve">$300</w:t>
            </w:r>
          </w:p>
        </w:tc>
        <w:tc>
          <w:tcPr>
            <w:tcMar>
              <w:top w:type="dxa" w:w="60"/>
              <w:left w:type="dxa" w:w="100"/>
              <w:bottom w:type="dxa" w:w="60"/>
              <w:right w:type="dxa" w:w="100"/>
            </w:tcMar>
          </w:tcPr>
          <w:p>
            <w:pPr>
              <w:spacing w:after="0"/>
            </w:pPr>
            <w:r>
              <w:rPr>
                <w:sz w:val="19"/>
                <w:szCs w:val="19"/>
              </w:rPr>
              <w:t xml:space="preserve">$100.00</w:t>
            </w:r>
          </w:p>
        </w:tc>
        <w:tc>
          <w:tcPr>
            <w:tcMar>
              <w:top w:type="dxa" w:w="60"/>
              <w:left w:type="dxa" w:w="100"/>
              <w:bottom w:type="dxa" w:w="60"/>
              <w:right w:type="dxa" w:w="100"/>
            </w:tcMar>
          </w:tcPr>
          <w:p>
            <w:pPr>
              <w:spacing w:after="0"/>
            </w:pPr>
            <w:r>
              <w:rPr>
                <w:sz w:val="19"/>
                <w:szCs w:val="19"/>
              </w:rPr>
              <w:t xml:space="preserve">Within estimate</w:t>
            </w:r>
          </w:p>
        </w:tc>
      </w:tr>
      <w:tr>
        <w:trPr>
          <w:tblHeader w:val="false"/>
        </w:trPr>
        <w:tc>
          <w:tcPr>
            <w:tcMar>
              <w:top w:type="dxa" w:w="60"/>
              <w:left w:type="dxa" w:w="100"/>
              <w:bottom w:type="dxa" w:w="60"/>
              <w:right w:type="dxa" w:w="100"/>
            </w:tcMar>
          </w:tcPr>
          <w:p>
            <w:pPr>
              <w:spacing w:after="0"/>
            </w:pPr>
            <w:r>
              <w:rPr>
                <w:sz w:val="19"/>
                <w:szCs w:val="19"/>
              </w:rPr>
              <w:t xml:space="preserve">Reproduction of policy and claim file documents</w:t>
            </w:r>
          </w:p>
        </w:tc>
        <w:tc>
          <w:tcPr>
            <w:tcMar>
              <w:top w:type="dxa" w:w="60"/>
              <w:left w:type="dxa" w:w="100"/>
              <w:bottom w:type="dxa" w:w="60"/>
              <w:right w:type="dxa" w:w="100"/>
            </w:tcMar>
          </w:tcPr>
          <w:p>
            <w:pPr>
              <w:spacing w:after="0"/>
            </w:pPr>
            <w:r>
              <w:rPr>
                <w:sz w:val="19"/>
                <w:szCs w:val="19"/>
              </w:rPr>
              <w:t xml:space="preserve">$60</w:t>
            </w:r>
          </w:p>
        </w:tc>
        <w:tc>
          <w:tcPr>
            <w:tcMar>
              <w:top w:type="dxa" w:w="60"/>
              <w:left w:type="dxa" w:w="100"/>
              <w:bottom w:type="dxa" w:w="60"/>
              <w:right w:type="dxa" w:w="100"/>
            </w:tcMar>
          </w:tcPr>
          <w:p>
            <w:pPr>
              <w:spacing w:after="0"/>
            </w:pPr>
            <w:r>
              <w:rPr>
                <w:sz w:val="19"/>
                <w:szCs w:val="19"/>
              </w:rPr>
              <w:t xml:space="preserve">$60.00</w:t>
            </w:r>
          </w:p>
        </w:tc>
        <w:tc>
          <w:tcPr>
            <w:tcMar>
              <w:top w:type="dxa" w:w="60"/>
              <w:left w:type="dxa" w:w="100"/>
              <w:bottom w:type="dxa" w:w="60"/>
              <w:right w:type="dxa" w:w="100"/>
            </w:tcMar>
          </w:tcPr>
          <w:p>
            <w:pPr>
              <w:spacing w:after="0"/>
            </w:pPr>
            <w:r>
              <w:rPr>
                <w:sz w:val="19"/>
                <w:szCs w:val="19"/>
              </w:rPr>
              <w:t xml:space="preserve">Within estimate</w:t>
            </w:r>
          </w:p>
        </w:tc>
      </w:tr>
    </w:tbl>
    <w:p/>
    <w:p>
      <w:pPr>
        <w:spacing w:after="120"/>
      </w:pPr>
      <w:r>
        <w:t xml:space="preserve">Total reimbursed: $610.00 against $810 estimated.</w:t>
      </w:r>
    </w:p>
    <w:p/>
    <w:p>
      <w:pPr>
        <w:spacing w:after="120"/>
      </w:pPr>
      <w:r>
        <w:t xml:space="preserve">The contents inventory came in $200 under because the carrier produced its own contents list on 12 August and only a partial review was needed. Under-runs are shown as well as over-runs: a statement that only surfaces expenses when they exceed estimate teaches the reader that the estimates were never meaningful.</w:t>
      </w:r>
    </w:p>
    <w:p/>
    <w:p>
      <w:pPr>
        <w:spacing w:after="120"/>
      </w:pPr>
      <w:r>
        <w:t xml:space="preserve">No expense exceeded its contract estimate, so no additional written approval was required. Had one been needed it would appear here with its date, because approval after the fact is not the approval the contract describes.</w:t>
      </w:r>
    </w:p>
    <w:p/>
    <w:p>
      <w:pPr>
        <w:pStyle w:val="Heading2"/>
      </w:pPr>
      <w:r>
        <w:t xml:space="preserve">Funds register, net to insured, and retention</w:t>
      </w:r>
    </w:p>
    <w:p>
      <w:pPr>
        <w:spacing w:after="120"/>
      </w:pPr>
      <w:r>
        <w:t xml:space="preserve">All carrier payments on this claim were issued directly to Mr Okonjo. No claim funds were received, held or disbursed by Merrow Loss Consulting, so no escrow or trust account was used on this matter and the funds register for this transaction is nil.</w:t>
      </w:r>
    </w:p>
    <w:p/>
    <w:p>
      <w:pPr>
        <w:spacing w:after="120"/>
      </w:pPr>
      <w:r>
        <w:t xml:space="preserve">That is stated positively rather than left blank. A blank register and a register that records no funds passed through are indistinguishable on the page and entirely different facts.</w:t>
      </w:r>
    </w:p>
    <w:p/>
    <w:p>
      <w:pPr>
        <w:spacing w:after="120"/>
      </w:pPr>
      <w:r>
        <w:t xml:space="preserve">The firm's trust account, where funds are held on other matters, is a non-interest-bearing account at a federally insured institution in the home state, as required.</w:t>
      </w:r>
    </w:p>
    <w:p/>
    <w:p>
      <w:pPr>
        <w:spacing w:after="120"/>
      </w:pPr>
      <w:r>
        <w:t xml:space="preserve">Net position:</w:t>
      </w:r>
    </w:p>
    <w:p>
      <w:pPr>
        <w:spacing w:after="120"/>
      </w:pPr>
      <w:r>
        <w:t xml:space="preserve">Total recovered: $27,410.00</w:t>
      </w:r>
    </w:p>
    <w:p>
      <w:pPr>
        <w:spacing w:after="120"/>
      </w:pPr>
      <w:r>
        <w:t xml:space="preserve">Less fee: $2,121.00</w:t>
      </w:r>
    </w:p>
    <w:p>
      <w:pPr>
        <w:spacing w:after="120"/>
      </w:pPr>
      <w:r>
        <w:t xml:space="preserve">Less approved expenses: $610.00</w:t>
      </w:r>
    </w:p>
    <w:p>
      <w:pPr>
        <w:spacing w:after="120"/>
      </w:pPr>
      <w:r>
        <w:t xml:space="preserve">Net retained by the insured: $24,679.00</w:t>
      </w:r>
    </w:p>
    <w:p/>
    <w:p>
      <w:pPr>
        <w:spacing w:after="120"/>
      </w:pPr>
      <w:r>
        <w:t xml:space="preserve">Fee and expenses paid by Mr Okonjo on 28 August 2026, two days after he received the settlement payments.</w:t>
      </w:r>
    </w:p>
    <w:p/>
    <w:p>
      <w:pPr>
        <w:spacing w:after="120"/>
      </w:pPr>
      <w:r>
        <w:t xml:space="preserve">Transaction terminated: 28 August 2026.</w:t>
      </w:r>
    </w:p>
    <w:p>
      <w:pPr>
        <w:spacing w:after="120"/>
      </w:pPr>
      <w:r>
        <w:t xml:space="preserve">Records retained until at least 28 August 2031, and open to examination by the commissioner at all times.</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claims.professionaldrafter.com/public-adjuster/itemized-statement-of-recoveries/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Itemized Statement of Recoveries &amp; Compensation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Itemized Statement of Recoveries &amp; Compensation Template</dc:title>
  <dc:creator>Adjuster Report Library</dc:creator>
  <dc:description>The two itemized statements the model act requires in every public adjuster file — the insured's recoveries and all compensation received from any source — with a worked example.</dc:description>
  <cp:lastModifiedBy>Un-named</cp:lastModifiedBy>
  <cp:revision>1</cp:revision>
  <dcterms:created xsi:type="dcterms:W3CDTF">2026-10-13T13:35:09.250Z</dcterms:created>
  <dcterms:modified xsi:type="dcterms:W3CDTF">2026-10-13T13:35:09.250Z</dcterms:modified>
</cp:coreProperties>
</file>

<file path=docProps/custom.xml><?xml version="1.0" encoding="utf-8"?>
<Properties xmlns="http://schemas.openxmlformats.org/officeDocument/2006/custom-properties" xmlns:vt="http://schemas.openxmlformats.org/officeDocument/2006/docPropsVTypes"/>
</file>