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Large Loss Report</w:t>
      </w:r>
    </w:p>
    <w:p>
      <w:pPr>
        <w:spacing w:after="120"/>
      </w:pPr>
      <w:r>
        <w:rPr>
          <w:i/>
          <w:iCs/>
          <w:sz w:val="20"/>
          <w:szCs w:val="20"/>
        </w:rPr>
        <w:t xml:space="preserve">Fillable template. Everything highlighted in yellow is yours to replace — 33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claims.professionaldrafter.com/adjuster-reports/large-loss-report/</w:t>
      </w:r>
    </w:p>
    <w:p/>
    <w:p>
      <w:pPr>
        <w:pStyle w:val="Heading2"/>
      </w:pPr>
      <w:r>
        <w:t xml:space="preserve">Report identification and reporting cycle</w:t>
      </w:r>
    </w:p>
    <w:p>
      <w:pPr>
        <w:spacing w:after="120"/>
      </w:pPr>
      <w:r>
        <w:rPr>
          <w:i/>
          <w:iCs/>
          <w:sz w:val="18"/>
          <w:szCs w:val="18"/>
        </w:rPr>
        <w:t xml:space="preserve">Number the report and state the period it covers. Large loss files generate a sequence, and a reader who cannot tell report 4 from report 5 cannot tell what is new. State the date of the previous report, the date of this one, and the date the next is due. If the cycle has slipped, say by how much and why, in this block, rather than leaving the gap to be noticed.</w:t>
      </w:r>
    </w:p>
    <w:p>
      <w:pPr>
        <w:spacing w:after="120"/>
      </w:pPr>
      <w:r>
        <w:t xml:space="preserve">Report number: </w:t>
      </w:r>
      <w:r>
        <w:rPr>
          <w:highlight w:val="yellow"/>
          <w:highlightCs w:val="yellow"/>
        </w:rPr>
        <w:t xml:space="preserve">[ ______________________ ]</w:t>
      </w:r>
    </w:p>
    <w:p>
      <w:pPr>
        <w:spacing w:after="120"/>
      </w:pPr>
      <w:r>
        <w:t xml:space="preserve">Period covered: </w:t>
      </w:r>
      <w:r>
        <w:rPr>
          <w:highlight w:val="yellow"/>
          <w:highlightCs w:val="yellow"/>
        </w:rPr>
        <w:t xml:space="preserve">[ ______________________ ]</w:t>
      </w:r>
    </w:p>
    <w:p>
      <w:pPr>
        <w:spacing w:after="120"/>
      </w:pPr>
      <w:r>
        <w:t xml:space="preserve">Date of previous report: </w:t>
      </w:r>
      <w:r>
        <w:rPr>
          <w:highlight w:val="yellow"/>
          <w:highlightCs w:val="yellow"/>
        </w:rPr>
        <w:t xml:space="preserve">[ ______________________ ]</w:t>
      </w:r>
    </w:p>
    <w:p>
      <w:pPr>
        <w:spacing w:after="120"/>
      </w:pPr>
      <w:r>
        <w:t xml:space="preserve">Next report due: </w:t>
      </w:r>
      <w:r>
        <w:rPr>
          <w:highlight w:val="yellow"/>
          <w:highlightCs w:val="yellow"/>
        </w:rPr>
        <w:t xml:space="preserve">[ ______________________ ]</w:t>
      </w:r>
    </w:p>
    <w:p>
      <w:pPr>
        <w:spacing w:after="120"/>
      </w:pPr>
      <w:r>
        <w:rPr>
          <w:highlight w:val="yellow"/>
          <w:highlightCs w:val="yellow"/>
        </w:rPr>
        <w:t xml:space="preserve">[Large loss report no. &lt;n&gt;, covering &lt;date&gt; to &lt;date&gt;. Previous report dated &lt;date&gt;. Next report due &lt;date&gt;.]</w:t>
      </w:r>
    </w:p>
    <w:p/>
    <w:p>
      <w:pPr>
        <w:pStyle w:val="Heading2"/>
      </w:pPr>
      <w:r>
        <w:t xml:space="preserve">Executive summary and recommendation</w:t>
      </w:r>
    </w:p>
    <w:p>
      <w:pPr>
        <w:spacing w:after="120"/>
      </w:pPr>
      <w:r>
        <w:rPr>
          <w:i/>
          <w:iCs/>
          <w:sz w:val="18"/>
          <w:szCs w:val="18"/>
        </w:rPr>
        <w:t xml:space="preserve">Half a page, written last, placed first. Current gross incurred, the settlement range you believe the file will land in, the single largest driver of uncertainty, and what you are asking the reader to do. Every sentence here should be one a manager could repeat in a meeting without opening the rest of the report. Resist the temptation to hedge everything: if the range is wide, say what would narrow it and by when.</w:t>
      </w:r>
    </w:p>
    <w:p>
      <w:pPr>
        <w:spacing w:after="120"/>
      </w:pPr>
      <w:r>
        <w:t xml:space="preserve">Gross incurred to date: </w:t>
      </w:r>
      <w:r>
        <w:rPr>
          <w:highlight w:val="yellow"/>
          <w:highlightCs w:val="yellow"/>
        </w:rPr>
        <w:t xml:space="preserve">[ ______________________ ]</w:t>
      </w:r>
    </w:p>
    <w:p>
      <w:pPr>
        <w:spacing w:after="120"/>
      </w:pPr>
      <w:r>
        <w:t xml:space="preserve">Expected settlement range: </w:t>
      </w:r>
      <w:r>
        <w:rPr>
          <w:highlight w:val="yellow"/>
          <w:highlightCs w:val="yellow"/>
        </w:rPr>
        <w:t xml:space="preserve">[ ______________________ ]</w:t>
      </w:r>
    </w:p>
    <w:p>
      <w:pPr>
        <w:spacing w:after="120"/>
      </w:pPr>
      <w:r>
        <w:t xml:space="preserve">Decision requested: </w:t>
      </w:r>
      <w:r>
        <w:rPr>
          <w:highlight w:val="yellow"/>
          <w:highlightCs w:val="yellow"/>
        </w:rPr>
        <w:t xml:space="preserve">[ ______________________ ]</w:t>
      </w:r>
    </w:p>
    <w:p>
      <w:pPr>
        <w:spacing w:after="120"/>
      </w:pPr>
      <w:r>
        <w:rPr>
          <w:highlight w:val="yellow"/>
          <w:highlightCs w:val="yellow"/>
        </w:rPr>
        <w:t xml:space="preserve">[Current exposure; expected settlement range; the principal uncertainty; the specific decision or authority being requested in this report.]</w:t>
      </w:r>
    </w:p>
    <w:p/>
    <w:p>
      <w:pPr>
        <w:pStyle w:val="Heading2"/>
      </w:pPr>
      <w:r>
        <w:t xml:space="preserve">Assignment and claim chronology</w:t>
      </w:r>
    </w:p>
    <w:p>
      <w:pPr>
        <w:spacing w:after="120"/>
      </w:pPr>
      <w:r>
        <w:rPr>
          <w:i/>
          <w:iCs/>
          <w:sz w:val="18"/>
          <w:szCs w:val="18"/>
        </w:rPr>
        <w:t xml:space="preserve">A dated chronology, not a narrative. Assignment, first contact, first inspection, each reinspection, each expert instruction, each payment, each material communication with the insured or their representative. This is the block that answers the question a file review asks, and Model 910 §6 describes a claim file as one maintained so that the pertinent events and the dates of those events can be reconstructed. A chronology written as prose fails that test even when the facts are all present.</w:t>
      </w:r>
    </w:p>
    <w:p>
      <w:pPr>
        <w:spacing w:after="120"/>
      </w:pPr>
      <w:r>
        <w:rPr>
          <w:highlight w:val="yellow"/>
          <w:highlightCs w:val="yellow"/>
        </w:rPr>
        <w:t xml:space="preserve">[Dated line entries from assignment to the reporting date. One event per line, with the actor and the outcome.]</w:t>
      </w:r>
    </w:p>
    <w:p/>
    <w:p>
      <w:pPr>
        <w:pStyle w:val="Heading2"/>
      </w:pPr>
      <w:r>
        <w:t xml:space="preserve">Coverage summary</w:t>
      </w:r>
    </w:p>
    <w:p>
      <w:pPr>
        <w:spacing w:after="120"/>
      </w:pPr>
      <w:r>
        <w:rPr>
          <w:i/>
          <w:iCs/>
          <w:sz w:val="18"/>
          <w:szCs w:val="18"/>
        </w:rPr>
        <w:t xml:space="preserve">Policy, term, forms, endorsements, every applicable limit and sublimit, and how the deductible applies. On a large loss the sublimits matter more than the dwelling limit — the loss rarely reaches the primary limit, but it routinely reaches an ordinance-or-law, debris removal, or specific-category contents sublimit that nobody read until the estimate arrived. List them even when they appear irrelevant. State what the policy provides; leave the contested question to the coverage section below.</w:t>
      </w:r>
    </w:p>
    <w:p>
      <w:pPr>
        <w:spacing w:after="120"/>
      </w:pPr>
      <w:r>
        <w:t xml:space="preserve">Policy number and term: </w:t>
      </w:r>
      <w:r>
        <w:rPr>
          <w:highlight w:val="yellow"/>
          <w:highlightCs w:val="yellow"/>
        </w:rPr>
        <w:t xml:space="preserve">[ ______________________ ]</w:t>
      </w:r>
    </w:p>
    <w:p>
      <w:pPr>
        <w:spacing w:after="120"/>
      </w:pPr>
      <w:r>
        <w:t xml:space="preserve">Limits and sublimits: </w:t>
      </w:r>
      <w:r>
        <w:rPr>
          <w:highlight w:val="yellow"/>
          <w:highlightCs w:val="yellow"/>
        </w:rPr>
        <w:t xml:space="preserve">[ ______________________ ]</w:t>
      </w:r>
    </w:p>
    <w:p>
      <w:pPr>
        <w:spacing w:after="120"/>
      </w:pPr>
      <w:r>
        <w:t xml:space="preserve">Deductible and application: </w:t>
      </w:r>
      <w:r>
        <w:rPr>
          <w:highlight w:val="yellow"/>
          <w:highlightCs w:val="yellow"/>
        </w:rPr>
        <w:t xml:space="preserve">[ ______________________ ]</w:t>
      </w:r>
    </w:p>
    <w:p>
      <w:pPr>
        <w:spacing w:after="120"/>
      </w:pPr>
      <w:r>
        <w:rPr>
          <w:highlight w:val="yellow"/>
          <w:highlightCs w:val="yellow"/>
        </w:rPr>
        <w:t xml:space="preserve">[Policy number and term; forms and endorsements; all applicable limits and sublimits; deductible and its application.]</w:t>
      </w:r>
    </w:p>
    <w:p/>
    <w:p>
      <w:pPr>
        <w:pStyle w:val="Heading2"/>
      </w:pPr>
      <w:r>
        <w:t xml:space="preserve">Cause, origin and investigation status</w:t>
      </w:r>
    </w:p>
    <w:p>
      <w:pPr>
        <w:spacing w:after="120"/>
      </w:pPr>
      <w:r>
        <w:rPr>
          <w:i/>
          <w:iCs/>
          <w:sz w:val="18"/>
          <w:szCs w:val="18"/>
        </w:rPr>
        <w:t xml:space="preserve">What happened, on what evidence, and what remains undetermined. On a large loss the undetermined part is usually the reason the report exists, so give it its own paragraph rather than burying it. Say what would resolve it, what has been attempted, what that cost, and whether further effort is proportionate. A large loss report that reports only what is known is a report the reader cannot act on.</w:t>
      </w:r>
    </w:p>
    <w:p>
      <w:pPr>
        <w:spacing w:after="120"/>
      </w:pPr>
      <w:r>
        <w:rPr>
          <w:highlight w:val="yellow"/>
          <w:highlightCs w:val="yellow"/>
        </w:rPr>
        <w:t xml:space="preserve">[Established cause and the evidence for it; what remains undetermined; what would resolve it; what has been attempted and at what cost.]</w:t>
      </w:r>
    </w:p>
    <w:p/>
    <w:p>
      <w:pPr>
        <w:pStyle w:val="Heading2"/>
      </w:pPr>
      <w:r>
        <w:t xml:space="preserve">Scope, estimate and estimate movement</w:t>
      </w:r>
    </w:p>
    <w:p>
      <w:pPr>
        <w:spacing w:after="120"/>
      </w:pPr>
      <w:r>
        <w:rPr>
          <w:i/>
          <w:iCs/>
          <w:sz w:val="18"/>
          <w:szCs w:val="18"/>
        </w:rPr>
        <w:t xml:space="preserve">Current estimate figures on both RCV and ACV bases, and the movement since the last report with a reason for each change. The reason is the part that gets omitted. A number that moved $30,000 without an explanation reads as an error being corrected; the same number with 'insulation found saturated behind the cabinet run at reinspection, 29 July' reads as an investigation working. Keep pricing separate from scope, as on any other report.</w:t>
      </w:r>
    </w:p>
    <w:p>
      <w:pPr>
        <w:spacing w:after="120"/>
      </w:pPr>
      <w:r>
        <w:t xml:space="preserve">Current RCV: </w:t>
      </w:r>
      <w:r>
        <w:rPr>
          <w:highlight w:val="yellow"/>
          <w:highlightCs w:val="yellow"/>
        </w:rPr>
        <w:t xml:space="preserve">[ ______________________ ]</w:t>
      </w:r>
    </w:p>
    <w:p>
      <w:pPr>
        <w:spacing w:after="120"/>
      </w:pPr>
      <w:r>
        <w:t xml:space="preserve">Current ACV: </w:t>
      </w:r>
      <w:r>
        <w:rPr>
          <w:highlight w:val="yellow"/>
          <w:highlightCs w:val="yellow"/>
        </w:rPr>
        <w:t xml:space="preserve">[ ______________________ ]</w:t>
      </w:r>
    </w:p>
    <w:p>
      <w:pPr>
        <w:spacing w:after="120"/>
      </w:pPr>
      <w:r>
        <w:t xml:space="preserve">Movement since last report: </w:t>
      </w:r>
      <w:r>
        <w:rPr>
          <w:highlight w:val="yellow"/>
          <w:highlightCs w:val="yellow"/>
        </w:rPr>
        <w:t xml:space="preserve">[ ______________________ ]</w:t>
      </w:r>
    </w:p>
    <w:p>
      <w:pPr>
        <w:spacing w:after="120"/>
      </w:pPr>
      <w:r>
        <w:rPr>
          <w:highlight w:val="yellow"/>
          <w:highlightCs w:val="yellow"/>
        </w:rPr>
        <w:t xml:space="preserve">[Current RCV and ACV; prior figures; each movement with its cause and date; the basis of pricing.]</w:t>
      </w:r>
    </w:p>
    <w:p/>
    <w:p>
      <w:pPr>
        <w:pStyle w:val="Heading2"/>
      </w:pPr>
      <w:r>
        <w:t xml:space="preserve">Contents, additional living expense and other coverages</w:t>
      </w:r>
    </w:p>
    <w:p>
      <w:pPr>
        <w:spacing w:after="120"/>
      </w:pPr>
      <w:r>
        <w:rPr>
          <w:i/>
          <w:iCs/>
          <w:sz w:val="18"/>
          <w:szCs w:val="18"/>
        </w:rPr>
        <w:t xml:space="preserve">Each non-dwelling coverage gets its own paragraph with its own number and its own status. Contents is the coverage that turns an ordinary file into a large loss most often, and usually late: an inventory arrives, or an appraisal arrives, and the exposure doubles in a week. State the basis on which contents are being evaluated, who prepared any valuation, and whether it has been reviewed or merely received. Received is not agreed, and the report should not let those blur.</w:t>
      </w:r>
    </w:p>
    <w:p>
      <w:pPr>
        <w:spacing w:after="120"/>
      </w:pPr>
      <w:r>
        <w:rPr>
          <w:highlight w:val="yellow"/>
          <w:highlightCs w:val="yellow"/>
        </w:rPr>
        <w:t xml:space="preserve">[Contents: basis, valuation, who prepared it, review status. ALE: incurred to date, run rate, expected duration. Other structures and any other coverage in play.]</w:t>
      </w:r>
    </w:p>
    <w:p/>
    <w:p>
      <w:pPr>
        <w:pStyle w:val="Heading2"/>
      </w:pPr>
      <w:r>
        <w:t xml:space="preserve">Reserves</w:t>
      </w:r>
    </w:p>
    <w:p>
      <w:pPr>
        <w:spacing w:after="120"/>
      </w:pPr>
      <w:r>
        <w:rPr>
          <w:i/>
          <w:iCs/>
          <w:sz w:val="18"/>
          <w:szCs w:val="18"/>
        </w:rPr>
        <w:t xml:space="preserve">Indemnity and expense separately, current and prior, with the arithmetic that produces each figure and the events that would move it. A reserve without a stated basis cannot be tested by the next reviewer, so it gets replaced with theirs. Show the components: estimate, contents exposure, expense commitments, less deductible. State explicitly whether the reserve is set to expected outcome or to a defensible worst case, because the two differ by a lot on a large loss and the reader cannot tell which you used.</w:t>
      </w:r>
    </w:p>
    <w:p>
      <w:pPr>
        <w:spacing w:after="120"/>
      </w:pPr>
      <w:r>
        <w:t xml:space="preserve">Indemnity reserve (current / prior): </w:t>
      </w:r>
      <w:r>
        <w:rPr>
          <w:highlight w:val="yellow"/>
          <w:highlightCs w:val="yellow"/>
        </w:rPr>
        <w:t xml:space="preserve">[ ______________________ ]</w:t>
      </w:r>
    </w:p>
    <w:p>
      <w:pPr>
        <w:spacing w:after="120"/>
      </w:pPr>
      <w:r>
        <w:t xml:space="preserve">Expense reserve (current / prior): </w:t>
      </w:r>
      <w:r>
        <w:rPr>
          <w:highlight w:val="yellow"/>
          <w:highlightCs w:val="yellow"/>
        </w:rPr>
        <w:t xml:space="preserve">[ ______________________ ]</w:t>
      </w:r>
    </w:p>
    <w:p>
      <w:pPr>
        <w:spacing w:after="120"/>
      </w:pPr>
      <w:r>
        <w:t xml:space="preserve">Basis: expected outcome or worst case: </w:t>
      </w:r>
      <w:r>
        <w:rPr>
          <w:highlight w:val="yellow"/>
          <w:highlightCs w:val="yellow"/>
        </w:rPr>
        <w:t xml:space="preserve">[ ______________________ ]</w:t>
      </w:r>
    </w:p>
    <w:p>
      <w:pPr>
        <w:spacing w:after="120"/>
      </w:pPr>
      <w:r>
        <w:rPr>
          <w:highlight w:val="yellow"/>
          <w:highlightCs w:val="yellow"/>
        </w:rPr>
        <w:t xml:space="preserve">[Indemnity reserve: current, prior, components, basis. Expense reserve: current, prior, committed vs anticipated. Events that would move either.]</w:t>
      </w:r>
    </w:p>
    <w:p/>
    <w:p>
      <w:pPr>
        <w:pStyle w:val="Heading2"/>
      </w:pPr>
      <w:r>
        <w:t xml:space="preserve">Coverage issues and open questions</w:t>
      </w:r>
    </w:p>
    <w:p>
      <w:pPr>
        <w:spacing w:after="120"/>
      </w:pPr>
      <w:r>
        <w:rPr>
          <w:i/>
          <w:iCs/>
          <w:sz w:val="18"/>
          <w:szCs w:val="18"/>
        </w:rPr>
        <w:t xml:space="preserve">Identify the provisions engaged and the factual questions that determine how they apply. Do not resolve them here and do not argue a position — a field report that reaches a coverage conclusion before the investigation is complete produces a conclusion that may have to be withdrawn, and withdrawing one is materially worse than never having stated it. Frame each issue as a question with a named owner and a date by which an answer is needed.</w:t>
      </w:r>
    </w:p>
    <w:p>
      <w:pPr>
        <w:spacing w:after="120"/>
      </w:pPr>
      <w:r>
        <w:rPr>
          <w:highlight w:val="yellow"/>
          <w:highlightCs w:val="yellow"/>
        </w:rPr>
        <w:t xml:space="preserve">[Each provision engaged; the factual question that determines its application; who is deciding; by when; what happens to the reserve either way.]</w:t>
      </w:r>
    </w:p>
    <w:p/>
    <w:p>
      <w:pPr>
        <w:pStyle w:val="Heading2"/>
      </w:pPr>
      <w:r>
        <w:t xml:space="preserve">Experts, vendors and their costs</w:t>
      </w:r>
    </w:p>
    <w:p>
      <w:pPr>
        <w:spacing w:after="120"/>
      </w:pPr>
      <w:r>
        <w:rPr>
          <w:i/>
          <w:iCs/>
          <w:sz w:val="18"/>
          <w:szCs w:val="18"/>
        </w:rPr>
        <w:t xml:space="preserve">Discipline, firm, date of written authorization, scope of instruction, fee agreed, invoiced to date, and what has been delivered. Expense reserves on large losses are wrong more often than indemnity reserves, and the reason is almost always a vendor whose engagement was authorized verbally and never costed. Record the authorization, not just the retention.</w:t>
      </w:r>
    </w:p>
    <w:p>
      <w:pPr>
        <w:spacing w:after="120"/>
      </w:pPr>
      <w:r>
        <w:rPr>
          <w:highlight w:val="yellow"/>
          <w:highlightCs w:val="yellow"/>
        </w:rPr>
        <w:t xml:space="preserve">[For each: discipline, firm, date of written authorization, scope, fee basis, invoiced to date, deliverable and its status.]</w:t>
      </w:r>
    </w:p>
    <w:p/>
    <w:p>
      <w:pPr>
        <w:pStyle w:val="Heading2"/>
      </w:pPr>
      <w:r>
        <w:t xml:space="preserve">Subrogation and salvage</w:t>
      </w:r>
    </w:p>
    <w:p>
      <w:pPr>
        <w:spacing w:after="120"/>
      </w:pPr>
      <w:r>
        <w:rPr>
          <w:i/>
          <w:iCs/>
          <w:sz w:val="18"/>
          <w:szCs w:val="18"/>
        </w:rPr>
        <w:t xml:space="preserve">The theory, not the flag. Against whom, on what basis, what evidence is held and where it physically is, what notice has issued, and what deadlines are diarised. On a large loss the recovery is often the difference between a bad year and an ordinary one for the file, and evidence gets discarded by contractors who were never told to keep it. Say who has custody of the retained components by name.</w:t>
      </w:r>
    </w:p>
    <w:p>
      <w:pPr>
        <w:spacing w:after="120"/>
      </w:pPr>
      <w:r>
        <w:rPr>
          <w:highlight w:val="yellow"/>
          <w:highlightCs w:val="yellow"/>
        </w:rPr>
        <w:t xml:space="preserve">[Potential defendants; theory; evidence retained and its custody; notice issued and when; referral status; diarised deadlines.]</w:t>
      </w:r>
    </w:p>
    <w:p/>
    <w:p>
      <w:pPr>
        <w:pStyle w:val="Heading2"/>
      </w:pPr>
      <w:r>
        <w:t xml:space="preserve">Representation, litigation and regulatory exposure</w:t>
      </w:r>
    </w:p>
    <w:p>
      <w:pPr>
        <w:spacing w:after="120"/>
      </w:pPr>
      <w:r>
        <w:rPr>
          <w:i/>
          <w:iCs/>
          <w:sz w:val="18"/>
          <w:szCs w:val="18"/>
        </w:rPr>
        <w:t xml:space="preserve">Whether the insured is represented, by whom, and since when. Any public adjuster, contractor acting as an assignee, appraisal demand, or department of insurance inquiry. This section is often empty and should still be present, because 'none as at 14 August' is information and a missing section is not. Where an inquiry exists, record the date received and the date a response is due.</w:t>
      </w:r>
    </w:p>
    <w:p>
      <w:pPr>
        <w:spacing w:after="120"/>
      </w:pPr>
      <w:r>
        <w:rPr>
          <w:highlight w:val="yellow"/>
          <w:highlightCs w:val="yellow"/>
        </w:rPr>
        <w:t xml:space="preserve">[Representation and date entered; appraisal or alternative dispute activity; regulatory inquiries with dates received and response dates due; litigation status.]</w:t>
      </w:r>
    </w:p>
    <w:p/>
    <w:p>
      <w:pPr>
        <w:pStyle w:val="Heading2"/>
      </w:pPr>
      <w:r>
        <w:t xml:space="preserve">Roundtable and settlement authority</w:t>
      </w:r>
    </w:p>
    <w:p>
      <w:pPr>
        <w:spacing w:after="120"/>
      </w:pPr>
      <w:r>
        <w:rPr>
          <w:i/>
          <w:iCs/>
          <w:sz w:val="18"/>
          <w:szCs w:val="18"/>
        </w:rPr>
        <w:t xml:space="preserve">The block that distinguishes a large loss report from every other report in the file. Record who attended the roundtable, the date, the range discussed, the authority granted and to whom, and any conditions attached to it. Then state the authority you currently hold and the authority you are asking for. If the file is likely to settle above your authority, this is the section that prevents the settlement stalling on a Friday afternoon.</w:t>
      </w:r>
    </w:p>
    <w:p>
      <w:pPr>
        <w:spacing w:after="120"/>
      </w:pPr>
      <w:r>
        <w:t xml:space="preserve">Roundtable date and attendees: </w:t>
      </w:r>
      <w:r>
        <w:rPr>
          <w:highlight w:val="yellow"/>
          <w:highlightCs w:val="yellow"/>
        </w:rPr>
        <w:t xml:space="preserve">[ ______________________ ]</w:t>
      </w:r>
    </w:p>
    <w:p>
      <w:pPr>
        <w:spacing w:after="120"/>
      </w:pPr>
      <w:r>
        <w:t xml:space="preserve">Authority currently held: </w:t>
      </w:r>
      <w:r>
        <w:rPr>
          <w:highlight w:val="yellow"/>
          <w:highlightCs w:val="yellow"/>
        </w:rPr>
        <w:t xml:space="preserve">[ ______________________ ]</w:t>
      </w:r>
    </w:p>
    <w:p>
      <w:pPr>
        <w:spacing w:after="120"/>
      </w:pPr>
      <w:r>
        <w:t xml:space="preserve">Authority requested: </w:t>
      </w:r>
      <w:r>
        <w:rPr>
          <w:highlight w:val="yellow"/>
          <w:highlightCs w:val="yellow"/>
        </w:rPr>
        <w:t xml:space="preserve">[ ______________________ ]</w:t>
      </w:r>
    </w:p>
    <w:p>
      <w:pPr>
        <w:spacing w:after="120"/>
      </w:pPr>
      <w:r>
        <w:rPr>
          <w:highlight w:val="yellow"/>
          <w:highlightCs w:val="yellow"/>
        </w:rPr>
        <w:t xml:space="preserve">[Roundtable date and attendees; range discussed; authority currently held and by whom; authority requested; conditions and expiry.]</w:t>
      </w:r>
    </w:p>
    <w:p/>
    <w:p>
      <w:pPr>
        <w:pStyle w:val="Heading2"/>
      </w:pPr>
      <w:r>
        <w:t xml:space="preserve">Action plan and next reporting cycle</w:t>
      </w:r>
    </w:p>
    <w:p>
      <w:pPr>
        <w:spacing w:after="120"/>
      </w:pPr>
      <w:r>
        <w:rPr>
          <w:i/>
          <w:iCs/>
          <w:sz w:val="18"/>
          <w:szCs w:val="18"/>
        </w:rPr>
        <w:t xml:space="preserve">Numbered items, each with an owner and a target date, and each traceable to something raised above. 'Continue to monitor' is the sentence that tells a reviewer the file is being observed rather than run. Close the section with the date of the next report and the anticipated completion date of the adjustment, and change that date deliberately rather than letting it drift report to report.</w:t>
      </w:r>
    </w:p>
    <w:p>
      <w:pPr>
        <w:spacing w:after="120"/>
      </w:pPr>
      <w:r>
        <w:rPr>
          <w:highlight w:val="yellow"/>
          <w:highlightCs w:val="yellow"/>
        </w:rPr>
        <w:t xml:space="preserve">[Numbered actions, each with owner and target date; date of next report; anticipated completion of the adjustment.]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Harbour Lane water loss after a contents appraisal and an exclusion question pushed it past the carrier's large loss threshold. Report 3 in the cycle. The exclusion question is not resolved at the reporting date, and the report asks for a decision on it rather than making one.</w:t>
      </w:r>
    </w:p>
    <w:p/>
    <w:p>
      <w:pPr>
        <w:pStyle w:val="Heading2"/>
      </w:pPr>
      <w:r>
        <w:t xml:space="preserve">Report identification and reporting cycle</w:t>
      </w:r>
    </w:p>
    <w:p>
      <w:pPr>
        <w:spacing w:after="120"/>
      </w:pPr>
      <w:r>
        <w:t xml:space="preserve">Large loss report no. 3, claim PC-2026-11482, insured D. Okonjo, 118 Harbour Lane. Covering 5 August to 14 August 2026. Previous report (no. 2) dated 4 August 2026. Next report due 4 September 2026, or earlier if the coverage question at section 9 is decided before then.</w:t>
      </w:r>
    </w:p>
    <w:p/>
    <w:p>
      <w:pPr>
        <w:spacing w:after="120"/>
      </w:pPr>
      <w:r>
        <w:t xml:space="preserve">This file was reported as a routine water loss and moved onto the large loss cycle on 6 August 2026 when the contents appraisal at section 7 took gross incurred past $100,000. Report no. 1 was the captioned report of 22 July and report no. 2 the interim report of 4 August; both are in the file.</w:t>
      </w:r>
    </w:p>
    <w:p/>
    <w:p>
      <w:pPr>
        <w:pStyle w:val="Heading2"/>
      </w:pPr>
      <w:r>
        <w:t xml:space="preserve">Executive summary and recommendation</w:t>
      </w:r>
    </w:p>
    <w:p>
      <w:pPr>
        <w:spacing w:after="120"/>
      </w:pPr>
      <w:r>
        <w:t xml:space="preserve">Gross incurred to date is $121,500 ($107,000 indemnity, $14,500 expense). Expected settlement range is $84,000 to $109,000 on indemnity, and the width of that range is entirely attributable to one question: whether the file is adjusted with or without reference to the repeated-seepage exclusion, which turns on the duration of the release.</w:t>
      </w:r>
    </w:p>
    <w:p/>
    <w:p>
      <w:pPr>
        <w:spacing w:after="120"/>
      </w:pPr>
      <w:r>
        <w:t xml:space="preserve">The cause of loss is established and not in dispute. The duration is not established and, on the evidence available, is unlikely to become established. I have spent $2,850 in expense trying to determine it and I do not recommend spending more.</w:t>
      </w:r>
    </w:p>
    <w:p/>
    <w:p>
      <w:pPr>
        <w:spacing w:after="120"/>
      </w:pPr>
      <w:r>
        <w:t xml:space="preserve">Two things are asked for in this report. First, a decision from the examiner, with coverage counsel if that is preferred, on whether the exclusion is being pursued — the reserve, the contents negotiation and the timing of the next status letter to the insured all depend on it. Second, settlement authority of $110,000, against my current $25,000, so that the contents position can be closed within the next cycle if the answer to the first question is that the exclusion is not pursued.</w:t>
      </w:r>
    </w:p>
    <w:p/>
    <w:p>
      <w:pPr>
        <w:pStyle w:val="Heading2"/>
      </w:pPr>
      <w:r>
        <w:t xml:space="preserve">Assignment and claim chronology</w:t>
      </w:r>
    </w:p>
    <w:p>
      <w:pPr>
        <w:spacing w:after="120"/>
      </w:pPr>
      <w:r>
        <w:t xml:space="preserve">14 Jul 2026 — Loss reported by insured. Discovery approximately 07:15.</w:t>
      </w:r>
    </w:p>
    <w:p>
      <w:pPr>
        <w:spacing w:after="120"/>
      </w:pPr>
      <w:r>
        <w:t xml:space="preserve">15 Jul — Assignment received by R. Calloway. Insured contacted by telephone same day. Insured out of state 15-17 Jul, declined key release; inspection set for 18 Jul.</w:t>
      </w:r>
    </w:p>
    <w:p>
      <w:pPr>
        <w:spacing w:after="120"/>
      </w:pPr>
      <w:r>
        <w:t xml:space="preserve">18 Jul — Inspection. Moisture readings taken, 47 photographs, contents inventory received from insured (14 cartons, unpriced). Fitting and supply line retained and tagged.</w:t>
      </w:r>
    </w:p>
    <w:p>
      <w:pPr>
        <w:spacing w:after="120"/>
      </w:pPr>
      <w:r>
        <w:t xml:space="preserve">20 Jul — Referred to recovery unit for subrogation against Feldstrom Plumbing.</w:t>
      </w:r>
    </w:p>
    <w:p>
      <w:pPr>
        <w:spacing w:after="120"/>
      </w:pPr>
      <w:r>
        <w:t xml:space="preserve">22 Jul — Captioned report issued as report no. 1, with the initial estimate, $18,340 RCV / $17,890 ACV. Reserves set at $19,000 indemnity / $2,500 expense.</w:t>
      </w:r>
    </w:p>
    <w:p>
      <w:pPr>
        <w:spacing w:after="120"/>
      </w:pPr>
      <w:r>
        <w:t xml:space="preserve">25 Jul — Insured advised the stored cartons include a collection he believes is separately valuable and asked to have it appraised.</w:t>
      </w:r>
    </w:p>
    <w:p>
      <w:pPr>
        <w:spacing w:after="120"/>
      </w:pPr>
      <w:r>
        <w:t xml:space="preserve">29 Jul — Reinspection with mitigation contractor. Insulation found saturated behind the kitchen cabinet run, not visible at first inspection. Estimate revision instructed.</w:t>
      </w:r>
    </w:p>
    <w:p>
      <w:pPr>
        <w:spacing w:after="120"/>
      </w:pPr>
      <w:r>
        <w:t xml:space="preserve">4 Aug — Interim report no. 2. Revised estimate $47,880 RCV / $44,740 ACV. Reserves increased to $50,000 / $6,000.</w:t>
      </w:r>
    </w:p>
    <w:p>
      <w:pPr>
        <w:spacing w:after="120"/>
      </w:pPr>
      <w:r>
        <w:t xml:space="preserve">5 Aug — Appraisal received from Marren &amp; Doyle, book and manuscript specialists, instructed by the insured: 14 cartons contain 211 volumes, 38 of which are appraised individually. Total appraised replacement value $61,400.</w:t>
      </w:r>
    </w:p>
    <w:p>
      <w:pPr>
        <w:spacing w:after="120"/>
      </w:pPr>
      <w:r>
        <w:t xml:space="preserve">6 Aug — File moved to large loss cycle. Reserves increased to $107,000 / $14,500.</w:t>
      </w:r>
    </w:p>
    <w:p>
      <w:pPr>
        <w:spacing w:after="120"/>
      </w:pPr>
      <w:r>
        <w:t xml:space="preserve">7 Aug — Status letter issued to insured under the carrier's 45-day status cadence, stating the appraisal is under review and a decision is expected by 4 September.</w:t>
      </w:r>
    </w:p>
    <w:p>
      <w:pPr>
        <w:spacing w:after="120"/>
      </w:pPr>
      <w:r>
        <w:t xml:space="preserve">11 Aug — Wentmore Plumbing Consultants reported on the duration question (section 5).</w:t>
      </w:r>
    </w:p>
    <w:p>
      <w:pPr>
        <w:spacing w:after="120"/>
      </w:pPr>
      <w:r>
        <w:t xml:space="preserve">12 Aug — Roundtable (section 13).</w:t>
      </w:r>
    </w:p>
    <w:p>
      <w:pPr>
        <w:spacing w:after="120"/>
      </w:pPr>
      <w:r>
        <w:t xml:space="preserve">14 Aug — This report.</w:t>
      </w:r>
    </w:p>
    <w:p/>
    <w:p>
      <w:pPr>
        <w:pStyle w:val="Heading2"/>
      </w:pPr>
      <w:r>
        <w:t xml:space="preserve">Coverage summary</w:t>
      </w:r>
    </w:p>
    <w:p>
      <w:pPr>
        <w:spacing w:after="120"/>
      </w:pPr>
      <w:r>
        <w:t xml:space="preserve">Policy HO-4471903, term 1 March 2026 to 1 March 2027, in force at the date of loss. Premium paid to term; no lapse or reinstatement in the policy history.</w:t>
      </w:r>
    </w:p>
    <w:p/>
    <w:p>
      <w:pPr>
        <w:spacing w:after="120"/>
      </w:pPr>
      <w:r>
        <w:t xml:space="preserve">Limits: dwelling $310,000; other structures $31,000; unscheduled personal property $155,000; additional living expense 12 months actual loss sustained. All-peril deductible $2,500, applied once to this occurrence.</w:t>
      </w:r>
    </w:p>
    <w:p/>
    <w:p>
      <w:pPr>
        <w:spacing w:after="120"/>
      </w:pPr>
      <w:r>
        <w:t xml:space="preserve">Sublimits reviewed against the contents appraisal, since that is where the exposure now sits. No scheduled personal property endorsement is attached. No item on the Marren &amp; Doyle appraisal is individually valued above the general UPP limit, and the aggregate appraised figure of $61,400 is well inside it. Ordinance-or-law and debris removal provisions are not engaged on the current scope.</w:t>
      </w:r>
    </w:p>
    <w:p/>
    <w:p>
      <w:pPr>
        <w:spacing w:after="120"/>
      </w:pPr>
      <w:r>
        <w:t xml:space="preserve">No coverage position is taken in this report. The provision engaged is identified at section 9.</w:t>
      </w:r>
    </w:p>
    <w:p/>
    <w:p>
      <w:pPr>
        <w:pStyle w:val="Heading2"/>
      </w:pPr>
      <w:r>
        <w:t xml:space="preserve">Cause, origin and investigation status</w:t>
      </w:r>
    </w:p>
    <w:p>
      <w:pPr>
        <w:spacing w:after="120"/>
      </w:pPr>
      <w:r>
        <w:t xml:space="preserve">The cause is a failed braided stainless supply line to the water heater, which separated at the crimped fitting at the heater end. The fitting and adjacent line were retained on 18 July, tagged, and photographed as images 3-9. This is established and has not been contested by anyone.</w:t>
      </w:r>
    </w:p>
    <w:p/>
    <w:p>
      <w:pPr>
        <w:spacing w:after="120"/>
      </w:pPr>
      <w:r>
        <w:t xml:space="preserve">The duration of the release is not established. The insured states the dwelling was last occupied at approximately 18:00 on Friday 11 July and that he found standing water at 07:15 on 14 July, an interval of roughly 61 hours. Moisture readings taken 18 July with a Delmhorst BD-2100 on the wood scale, on the slab at 4, 8, 12 and 16 feet from the utility closet, were 18.4%, 16.1%, 14.8% and 11.2%, against a baseline of 9.6% in the far bedroom approximately 40 feet from the source.</w:t>
      </w:r>
    </w:p>
    <w:p/>
    <w:p>
      <w:pPr>
        <w:spacing w:after="120"/>
      </w:pPr>
      <w:r>
        <w:t xml:space="preserve">Three avenues that might have resolved duration were unavailable: there is no water sub-meter, the municipal supply is billed quarterly with the next read due in September, and there is no alarm or occupancy log at the risk.</w:t>
      </w:r>
    </w:p>
    <w:p/>
    <w:p>
      <w:pPr>
        <w:spacing w:after="120"/>
      </w:pPr>
      <w:r>
        <w:t xml:space="preserve">Wentmore Plumbing Consultants were instructed on 6 August and reported on 11 August. Their conclusion, in short, is that the gradient across the four readings is consistent with a continuous release of many hours but does not distinguish a release of twelve hours from one of sixty, and that the drying that occurred between 14 and 18 July removes any prospect of narrowing it further. Their fee was $2,850.</w:t>
      </w:r>
    </w:p>
    <w:p/>
    <w:p>
      <w:pPr>
        <w:spacing w:after="120"/>
      </w:pPr>
      <w:r>
        <w:t xml:space="preserve">I am recording duration as undetermined rather than estimating it. An estimate offered here would be read downstream as a finding, and the provision at section 9 turns on exactly this point.</w:t>
      </w:r>
    </w:p>
    <w:p/>
    <w:p>
      <w:pPr>
        <w:pStyle w:val="Heading2"/>
      </w:pPr>
      <w:r>
        <w:t xml:space="preserve">Scope, estimate and estimate movement</w:t>
      </w:r>
    </w:p>
    <w:p>
      <w:pPr>
        <w:spacing w:after="120"/>
      </w:pPr>
      <w:r>
        <w:t xml:space="preserve">Current building estimate: $47,880 RCV, $44,740 ACV. Depreciation $3,140, all recoverable on completion.</w:t>
      </w:r>
    </w:p>
    <w:p/>
    <w:p>
      <w:pPr>
        <w:spacing w:after="120"/>
      </w:pPr>
      <w:r>
        <w:t xml:space="preserve">Movement since report no. 1:</w:t>
      </w:r>
    </w:p>
    <w:p/>
    <w:p>
      <w:pPr>
        <w:spacing w:after="120"/>
      </w:pPr>
      <w:r>
        <w:t xml:space="preserve">22 Jul, initial — $18,340 RCV. Scope was 31 LF of drywall wet to 14 inches above slab on the south and west walls of the hallway and living room, base trim, slab drying, and the utility closet surround.</w:t>
      </w:r>
    </w:p>
    <w:p/>
    <w:p>
      <w:pPr>
        <w:spacing w:after="120"/>
      </w:pPr>
      <w:r>
        <w:t xml:space="preserve">29 Jul, revision +$29,540 — At reinspection with the mitigation contractor, insulation behind the kitchen cabinet run was found saturated across 11 LF. The wicking was not visible at first inspection because the cabinet toe kicks are sealed and the finished surface was dry to the touch. The revision comprises removal and reset of the lower cabinet run, replacement of insulation and drywall behind it, replacement of the affected flooring transition, extended drying, and the associated paint break. Photographs 51-73 document the concealed condition.</w:t>
      </w:r>
    </w:p>
    <w:p/>
    <w:p>
      <w:pPr>
        <w:spacing w:after="120"/>
      </w:pPr>
      <w:r>
        <w:t xml:space="preserve">No movement in this reporting period. Pricing is on the carrier's current price list for the ZIP code, dated July 2026. Scope and pricing are held as separate layers in the file; the scope sheet is unchanged from 29 July.</w:t>
      </w:r>
    </w:p>
    <w:p/>
    <w:p>
      <w:pPr>
        <w:pStyle w:val="Heading2"/>
      </w:pPr>
      <w:r>
        <w:t xml:space="preserve">Contents, additional living expense and other coverages</w:t>
      </w:r>
    </w:p>
    <w:p>
      <w:pPr>
        <w:spacing w:after="120"/>
      </w:pPr>
      <w:r>
        <w:t xml:space="preserve">Unscheduled personal property. This is the coverage that made the file a large loss. At inspection on 18 July the affected contents were recorded as 14 cartons of stored books on the floor of the hallway closet, water-stained to varying heights and photographed individually as images 30-44. The insured's initial inventory was unpriced and I carried them at a nominal $1,400 in the first estimate.</w:t>
      </w:r>
    </w:p>
    <w:p/>
    <w:p>
      <w:pPr>
        <w:spacing w:after="120"/>
      </w:pPr>
      <w:r>
        <w:t xml:space="preserve">On 25 July the insured advised that the cartons contain a collection he had inherited and believed to be separately valuable, and asked to have it appraised. The appraisal, from Marren &amp; Doyle, book and manuscript specialists, was received on 5 August. It records 211 volumes, of which 38 are appraised individually and the balance in lots, with a total appraised replacement value of $61,400.</w:t>
      </w:r>
    </w:p>
    <w:p/>
    <w:p>
      <w:pPr>
        <w:spacing w:after="120"/>
      </w:pPr>
      <w:r>
        <w:t xml:space="preserve">The appraisal has been received. It has not been reviewed, and it has not been agreed. I have asked the recovery unit's contents desk to identify a reviewer with rare book experience; that request is outstanding as at the reporting date. Points I want reviewed rather than accepted: the basis of valuation used, whether the individually appraised volumes were physically examined after the loss or valued from a pre-loss list, and whether any of the water staining is restorable rather than total.</w:t>
      </w:r>
    </w:p>
    <w:p/>
    <w:p>
      <w:pPr>
        <w:spacing w:after="120"/>
      </w:pPr>
      <w:r>
        <w:t xml:space="preserve">Additional living expense. None claimed, and none expected. The dwelling remained habitable throughout — kitchen use was interrupted for six days during the cabinet work in early August and the insured did not claim it.</w:t>
      </w:r>
    </w:p>
    <w:p/>
    <w:p>
      <w:pPr>
        <w:spacing w:after="120"/>
      </w:pPr>
      <w:r>
        <w:t xml:space="preserve">Other structures. Detached garage inspected 18 July, no intrusion, photographed as image 27. Nil.</w:t>
      </w:r>
    </w:p>
    <w:p/>
    <w:p>
      <w:pPr>
        <w:pStyle w:val="Heading2"/>
      </w:pPr>
      <w:r>
        <w:t xml:space="preserve">Reserves</w:t>
      </w:r>
    </w:p>
    <w:p>
      <w:pPr>
        <w:spacing w:after="120"/>
      </w:pPr>
      <w:r>
        <w:t xml:space="preserve">Indemnity reserve, current $107,000. Prior $50,000, set 4 August.</w:t>
      </w:r>
    </w:p>
    <w:p/>
    <w:p>
      <w:pPr>
        <w:spacing w:after="120"/>
      </w:pPr>
      <w:r>
        <w:t xml:space="preserve">Components: building $47,880 at RCV, plus contents at the full appraised $61,400, less the $2,500 deductible, equals $106,780, rounded to $107,000.</w:t>
      </w:r>
    </w:p>
    <w:p/>
    <w:p>
      <w:pPr>
        <w:spacing w:after="120"/>
      </w:pPr>
      <w:r>
        <w:t xml:space="preserve">Basis: defensible worst case, not expected outcome. I have reserved contents at the full appraised figure although I do not expect to settle there, because the appraisal is the only valuation in the file and reserving below it would mean reserving to a number nobody has yet produced. My expected outcome on contents is materially lower and I will move the reserve when the review at section 7 gives me something to move it to.</w:t>
      </w:r>
    </w:p>
    <w:p/>
    <w:p>
      <w:pPr>
        <w:spacing w:after="120"/>
      </w:pPr>
      <w:r>
        <w:t xml:space="preserve">Expense reserve, current $14,500. Prior $6,000.</w:t>
      </w:r>
    </w:p>
    <w:p/>
    <w:p>
      <w:pPr>
        <w:spacing w:after="120"/>
      </w:pPr>
      <w:r>
        <w:t xml:space="preserve">Committed: Wentmore Plumbing Consultants $2,850, invoiced and unpaid. Mitigation contractor reinspection attendance $340, paid. Anticipated: contents review $3,500 to $5,000, subrogation counsel $4,000, further inspection and photography $800, balance for the reporting cycle itself.</w:t>
      </w:r>
    </w:p>
    <w:p/>
    <w:p>
      <w:pPr>
        <w:spacing w:after="120"/>
      </w:pPr>
      <w:r>
        <w:t xml:space="preserve">What would move either figure. A contents review returning materially below $61,400 moves indemnity down, probably to the $84,000 to $92,000 area. A decision to pursue the exclusion at section 9 moves indemnity down substantially and expense up. A decision not to pursue it leaves indemnity where it is until the contents review lands.</w:t>
      </w:r>
    </w:p>
    <w:p/>
    <w:p>
      <w:pPr>
        <w:pStyle w:val="Heading2"/>
      </w:pPr>
      <w:r>
        <w:t xml:space="preserve">Coverage issues and open questions</w:t>
      </w:r>
    </w:p>
    <w:p>
      <w:pPr>
        <w:spacing w:after="120"/>
      </w:pPr>
      <w:r>
        <w:t xml:space="preserve">One issue, and it is the reason this report is asking for a decision.</w:t>
      </w:r>
    </w:p>
    <w:p/>
    <w:p>
      <w:pPr>
        <w:spacing w:after="120"/>
      </w:pPr>
      <w:r>
        <w:t xml:space="preserve">The policy contains an exclusion for loss caused by repeated or continuous seepage or leakage over a period of time. Whether it is engaged at all turns on the duration of the release, and duration is undetermined for the reasons at section 5. The evidence establishes an interval of roughly 61 hours between last occupancy and discovery, and establishes that the release occurred somewhere inside that window, but does not establish where.</w:t>
      </w:r>
    </w:p>
    <w:p/>
    <w:p>
      <w:pPr>
        <w:spacing w:after="120"/>
      </w:pPr>
      <w:r>
        <w:t xml:space="preserve">What I am not doing here: taking a position on whether the exclusion applies. That is not the field report's job and a position taken now is a position that may have to be withdrawn.</w:t>
      </w:r>
    </w:p>
    <w:p/>
    <w:p>
      <w:pPr>
        <w:spacing w:after="120"/>
      </w:pPr>
      <w:r>
        <w:t xml:space="preserve">What I need. A decision from C. Mendez, with coverage counsel if that is preferred, on whether the exclusion is being pursued on this file. If it is, a reservation of rights will need to issue and the insured will need to be told, which changes the content of the next status letter and probably the tone of the contents negotiation. If it is not, the file can be adjusted on the current scope and closed inside two cycles.</w:t>
      </w:r>
    </w:p>
    <w:p/>
    <w:p>
      <w:pPr>
        <w:spacing w:after="120"/>
      </w:pPr>
      <w:r>
        <w:t xml:space="preserve">Date an answer is needed: 28 August 2026. That is early enough to be put to the insured well before the next status letter falls due on 21 September, rather than sending him a second holding position.</w:t>
      </w:r>
    </w:p>
    <w:p/>
    <w:p>
      <w:pPr>
        <w:pStyle w:val="Heading2"/>
      </w:pPr>
      <w:r>
        <w:t xml:space="preserve">Experts, vendors and their costs</w:t>
      </w:r>
    </w:p>
    <w:p>
      <w:pPr>
        <w:spacing w:after="120"/>
      </w:pPr>
      <w:r>
        <w:t xml:space="preserve">Wentmore Plumbing Consultants. Discipline: plumbing systems and water loss causation. Written authorization from C. Mendez dated 6 August 2026, scope limited to whether the duration of the release could be narrowed from the physical evidence. Fee agreed at $2,850 fixed. Report delivered 11 August, in the file. Invoiced 11 August, unpaid at the reporting date.</w:t>
      </w:r>
    </w:p>
    <w:p/>
    <w:p>
      <w:pPr>
        <w:spacing w:after="120"/>
      </w:pPr>
      <w:r>
        <w:t xml:space="preserve">Marren &amp; Doyle, book and manuscript specialists. Not our expert — instructed and paid by the insured. Their appraisal is in the file as an insured-supplied document and is treated as such at section 7.</w:t>
      </w:r>
    </w:p>
    <w:p/>
    <w:p>
      <w:pPr>
        <w:spacing w:after="120"/>
      </w:pPr>
      <w:r>
        <w:t xml:space="preserve">Coastline Mitigation. Emergency service and drying, engaged by the insured before assignment. Invoice $4,180, reviewed against the drying log and the scope, and included in the building estimate rather than carried separately.</w:t>
      </w:r>
    </w:p>
    <w:p/>
    <w:p>
      <w:pPr>
        <w:spacing w:after="120"/>
      </w:pPr>
      <w:r>
        <w:t xml:space="preserve">No other vendor engaged. No salvage vendor engaged and none warranted.</w:t>
      </w:r>
    </w:p>
    <w:p/>
    <w:p>
      <w:pPr>
        <w:pStyle w:val="Heading2"/>
      </w:pPr>
      <w:r>
        <w:t xml:space="preserve">Subrogation and salvage</w:t>
      </w:r>
    </w:p>
    <w:p>
      <w:pPr>
        <w:spacing w:after="120"/>
      </w:pPr>
      <w:r>
        <w:t xml:space="preserve">The water heater was replaced 11 months before the loss by Feldstrom Plumbing under invoice 20941 dated 3 August 2025, a copy of which the insured provided. The braided line appears to have been supplied and fitted as part of that work.</w:t>
      </w:r>
    </w:p>
    <w:p/>
    <w:p>
      <w:pPr>
        <w:spacing w:after="120"/>
      </w:pPr>
      <w:r>
        <w:t xml:space="preserve">Theory: defective installation of the crimped fitting, rather than product failure. The two are not distinguishable on visual inspection alone, and the Wentmore report was scoped to duration rather than to the failure mode, so it does not assist on this. If recovery is pursued seriously the failure mode will need its own examination.</w:t>
      </w:r>
    </w:p>
    <w:p/>
    <w:p>
      <w:pPr>
        <w:spacing w:after="120"/>
      </w:pPr>
      <w:r>
        <w:t xml:space="preserve">Evidence. The fitting and approximately 18 inches of adjacent line were removed on 18 July, tagged PC-2026-11482/E1, photographed as images 3-9, and are held in the branch evidence locker. Custody is with the branch administrator, L. Ferris. They have not been sent anywhere and have not been examined destructively.</w:t>
      </w:r>
    </w:p>
    <w:p/>
    <w:p>
      <w:pPr>
        <w:spacing w:after="120"/>
      </w:pPr>
      <w:r>
        <w:t xml:space="preserve">Notice. Referred to the recovery unit on 20 July with a recommendation that notice issue to Feldstrom before any further examination, so that any inspection can be conducted jointly. Notice status as at the reporting date is with recovery; I do not have confirmation it has issued and have asked for it.</w:t>
      </w:r>
    </w:p>
    <w:p/>
    <w:p>
      <w:pPr>
        <w:spacing w:after="120"/>
      </w:pPr>
      <w:r>
        <w:t xml:space="preserve">Salvage. None of value. The damaged volumes are being retained by the insured at our request pending the contents review, since their condition is itself evidence of the extent of loss.</w:t>
      </w:r>
    </w:p>
    <w:p/>
    <w:p>
      <w:pPr>
        <w:pStyle w:val="Heading2"/>
      </w:pPr>
      <w:r>
        <w:t xml:space="preserve">Representation, litigation and regulatory exposure</w:t>
      </w:r>
    </w:p>
    <w:p>
      <w:pPr>
        <w:spacing w:after="120"/>
      </w:pPr>
      <w:r>
        <w:t xml:space="preserve">The insured is not represented. No public adjuster has entered, no letter of representation has been received, and no contractor has presented an assignment of benefits.</w:t>
      </w:r>
    </w:p>
    <w:p/>
    <w:p>
      <w:pPr>
        <w:spacing w:after="120"/>
      </w:pPr>
      <w:r>
        <w:t xml:space="preserve">No appraisal has been demanded by either side and none is presently indicated, since the building scope is agreed with the insured and the disagreement, if one develops, will be about contents valuation rather than about the cost to repair the dwelling.</w:t>
      </w:r>
    </w:p>
    <w:p/>
    <w:p>
      <w:pPr>
        <w:spacing w:after="120"/>
      </w:pPr>
      <w:r>
        <w:t xml:space="preserve">No department of insurance inquiry. No litigation.</w:t>
      </w:r>
    </w:p>
    <w:p/>
    <w:p>
      <w:pPr>
        <w:spacing w:after="120"/>
      </w:pPr>
      <w:r>
        <w:t xml:space="preserve">Worth flagging rather than leaving blank: the insured has been patient and cooperative, has produced documents on request, and has asked twice about timing. A file with an undetermined coverage question, a contents appraisal sitting unreviewed and a second holding status letter is the shape of file that acquires representation, and the decision requested at section 9 is the thing most likely to prevent that.</w:t>
      </w:r>
    </w:p>
    <w:p/>
    <w:p>
      <w:pPr>
        <w:pStyle w:val="Heading2"/>
      </w:pPr>
      <w:r>
        <w:t xml:space="preserve">Roundtable and settlement authority</w:t>
      </w:r>
    </w:p>
    <w:p>
      <w:pPr>
        <w:spacing w:after="120"/>
      </w:pPr>
      <w:r>
        <w:t xml:space="preserve">Roundtable held 12 August 2026. Attending: C. Mendez (examiner), R. Calloway (field), P. Adeyemi (claims manager), and D. Sharma from the contents desk for the first twenty minutes.</w:t>
      </w:r>
    </w:p>
    <w:p/>
    <w:p>
      <w:pPr>
        <w:spacing w:after="120"/>
      </w:pPr>
      <w:r>
        <w:t xml:space="preserve">Range discussed: $84,000 to $109,000 on indemnity, assuming the exclusion is not pursued. No range was set for the alternative, because the roundtable took the view that a range for an exclusion that has not been decided is a number that would be quoted back later. That is recorded here as the reason the executive summary carries only one range.</w:t>
      </w:r>
    </w:p>
    <w:p/>
    <w:p>
      <w:pPr>
        <w:spacing w:after="120"/>
      </w:pPr>
      <w:r>
        <w:t xml:space="preserve">The contents desk's view, given verbally and not yet in writing, is that a rare book appraisal prepared for an insured and based partly on a pre-loss list would normally be reviewed by an independent specialist before it is agreed, and that the review typically moves the figure. No figure was offered.</w:t>
      </w:r>
    </w:p>
    <w:p/>
    <w:p>
      <w:pPr>
        <w:spacing w:after="120"/>
      </w:pPr>
      <w:r>
        <w:t xml:space="preserve">Authority currently held: R. Calloway $25,000. C. Mendez $100,000. Above $100,000 requires P. Adeyemi.</w:t>
      </w:r>
    </w:p>
    <w:p/>
    <w:p>
      <w:pPr>
        <w:spacing w:after="120"/>
      </w:pPr>
      <w:r>
        <w:t xml:space="preserve">Authority requested in this report: $110,000, to R. Calloway, expiring 30 September 2026, conditional on the contents review at section 7 having been completed. The purpose is to allow the contents position to be closed within the next cycle without a second escalation, in the event the review returns near the appraised figure.</w:t>
      </w:r>
    </w:p>
    <w:p/>
    <w:p>
      <w:pPr>
        <w:pStyle w:val="Heading2"/>
      </w:pPr>
      <w:r>
        <w:t xml:space="preserve">Action plan and next reporting cycle</w:t>
      </w:r>
    </w:p>
    <w:p>
      <w:pPr>
        <w:spacing w:after="120"/>
      </w:pPr>
      <w:r>
        <w:t xml:space="preserve">1. Obtain the examiner's decision on whether the exclusion at section 9 is being pursued. Owner: C. Mendez. Needed by 28 August 2026.</w:t>
      </w:r>
    </w:p>
    <w:p>
      <w:pPr>
        <w:spacing w:after="120"/>
      </w:pPr>
      <w:r>
        <w:t xml:space="preserve">2. Secure a rare book reviewer through the contents desk and instruct them in writing, with the scope points listed at section 7. Owner: R. Calloway with D. Sharma. Target 21 August 2026.</w:t>
      </w:r>
    </w:p>
    <w:p>
      <w:pPr>
        <w:spacing w:after="120"/>
      </w:pPr>
      <w:r>
        <w:t xml:space="preserve">3. Obtain written confirmation from the recovery unit that notice has issued to Feldstrom Plumbing, and the date. Requested 12 August. Owner: recovery unit. Target 21 August 2026.</w:t>
      </w:r>
    </w:p>
    <w:p>
      <w:pPr>
        <w:spacing w:after="120"/>
      </w:pPr>
      <w:r>
        <w:t xml:space="preserve">4. Approve and process the Wentmore invoice, $2,850. Owner: R. Calloway. Target 18 August 2026.</w:t>
      </w:r>
    </w:p>
    <w:p>
      <w:pPr>
        <w:spacing w:after="120"/>
      </w:pPr>
      <w:r>
        <w:t xml:space="preserve">5. Issue the next status letter to the insured on the carrier's 45-day cadence, 45 days from the letter of 7 August, carrying the outcome of items 1 and 2 if available. Owner: R. Calloway. Due 21 September 2026.</w:t>
      </w:r>
    </w:p>
    <w:p>
      <w:pPr>
        <w:spacing w:after="120"/>
      </w:pPr>
      <w:r>
        <w:t xml:space="preserve">6. Reassess the indemnity reserve once item 2 reports. Owner: R. Calloway.</w:t>
      </w:r>
    </w:p>
    <w:p/>
    <w:p>
      <w:pPr>
        <w:spacing w:after="120"/>
      </w:pPr>
      <w:r>
        <w:t xml:space="preserve">Next report: 4 September 2026, or immediately on the decision at item 1 if that comes first.</w:t>
      </w:r>
    </w:p>
    <w:p/>
    <w:p>
      <w:pPr>
        <w:spacing w:after="120"/>
      </w:pPr>
      <w:r>
        <w:t xml:space="preserve">Anticipated completion of the adjustment: 31 October 2026. This date has moved once, from 8 August, and the reason is the contents appraisal received on 5 August. It is not moved in this report.</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claims.professionaldrafter.com/adjuster-reports/large-loss-report/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Large Loss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Large Loss Report Template &amp; Example</dc:title>
  <dc:creator>Adjuster Report Library</dc:creator>
  <dc:description>A large loss report template with a complete filled-in example, reserve and authority sections, and a section-by-section guide. Free Word download, no signup.</dc:description>
  <cp:lastModifiedBy>Un-named</cp:lastModifiedBy>
  <cp:revision>1</cp:revision>
  <dcterms:created xsi:type="dcterms:W3CDTF">2026-10-13T13:35:08.610Z</dcterms:created>
  <dcterms:modified xsi:type="dcterms:W3CDTF">2026-10-13T13:35:08.610Z</dcterms:modified>
</cp:coreProperties>
</file>

<file path=docProps/custom.xml><?xml version="1.0" encoding="utf-8"?>
<Properties xmlns="http://schemas.openxmlformats.org/officeDocument/2006/custom-properties" xmlns:vt="http://schemas.openxmlformats.org/officeDocument/2006/docPropsVTypes"/>
</file>