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NFIP Final Report</w:t>
      </w:r>
    </w:p>
    <w:p>
      <w:pPr>
        <w:spacing w:after="120"/>
      </w:pPr>
      <w:r>
        <w:rPr>
          <w:i/>
          <w:iCs/>
          <w:sz w:val="20"/>
          <w:szCs w:val="20"/>
        </w:rPr>
        <w:t xml:space="preserve">Fillable template. Everything highlighted in yellow is yours to replace — 6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claims.professionaldrafter.com/adjuster-reports/nfip-final-report/</w:t>
      </w:r>
    </w:p>
    <w:p/>
    <w:p>
      <w:pPr>
        <w:pStyle w:val="Heading2"/>
      </w:pPr>
      <w:r>
        <w:t xml:space="preserve">Report identity and coverage summary</w:t>
      </w:r>
    </w:p>
    <w:p>
      <w:pPr>
        <w:spacing w:after="120"/>
      </w:pPr>
      <w:r>
        <w:rPr>
          <w:i/>
          <w:iCs/>
          <w:sz w:val="18"/>
          <w:szCs w:val="18"/>
        </w:rPr>
        <w:t xml:space="preserve">This is a companion drafting outline, not an official FEMA form. “Closing Report” (Claims Journey–64) includes a summary of coverage and interests. Identify the claim and policy, then set out the relevant form, term, limits, deductibles and interests from the file. Keep the settlement basis explicit. “Writing the Building Estimate” (43) calls for replacement-cost eligibility to be documented; Section 2, “Loss Settlement” (Valuation–5), distinguishes settlement approaches and their eligibility thresholds.</w:t>
      </w:r>
    </w:p>
    <w:p>
      <w:pPr>
        <w:spacing w:after="120"/>
      </w:pPr>
      <w:r>
        <w:rPr>
          <w:highlight w:val="yellow"/>
          <w:highlightCs w:val="yellow"/>
        </w:rPr>
        <w:t xml:space="preserve">[Claim; policyholder; property; report date and adjuster; policy form and term; relevant limits and deductibles; interests; settlement basis and supporting eligibility record]</w:t>
      </w:r>
    </w:p>
    <w:p/>
    <w:p>
      <w:pPr>
        <w:pStyle w:val="Heading2"/>
      </w:pPr>
      <w:r>
        <w:t xml:space="preserve">Claim activity and evidence trail</w:t>
      </w:r>
    </w:p>
    <w:p>
      <w:pPr>
        <w:spacing w:after="120"/>
      </w:pPr>
      <w:r>
        <w:rPr>
          <w:i/>
          <w:iCs/>
          <w:sz w:val="18"/>
          <w:szCs w:val="18"/>
        </w:rPr>
        <w:t xml:space="preserve">Summarize the material steps rather than copying the entire diary. “Closing Report” (Claims Journey–64) includes claim activities; “Progress Notes in File” (35) covers progress, communications, scope, calculations, diagrams and receipt of information. Connect the initial inspection, later evidence and estimate revisions to the decision they informed. The [claim diary](/file-administration/claim-diary-log/) can retain the full chronology.</w:t>
      </w:r>
    </w:p>
    <w:p>
      <w:pPr>
        <w:spacing w:after="120"/>
      </w:pPr>
      <w:r>
        <w:rPr>
          <w:highlight w:val="yellow"/>
          <w:highlightCs w:val="yellow"/>
        </w:rPr>
        <w:t xml:space="preserve">[Assignment, contact and inspection; preliminary and interim submissions; significant requests and responses; inspections or comparisons resolving questions; evidence references]</w:t>
      </w:r>
    </w:p>
    <w:p/>
    <w:p>
      <w:pPr>
        <w:pStyle w:val="Heading2"/>
      </w:pPr>
      <w:r>
        <w:t xml:space="preserve">Adjustment decisions and their evidence</w:t>
      </w:r>
    </w:p>
    <w:p>
      <w:pPr>
        <w:spacing w:after="120"/>
      </w:pPr>
      <w:r>
        <w:rPr>
          <w:i/>
          <w:iCs/>
          <w:sz w:val="18"/>
          <w:szCs w:val="18"/>
        </w:rPr>
        <w:t xml:space="preserve">Explain the treatment of material items and the factual basis for judgment (Claims Journey–33 and 64). For prior damage, “Documenting Prior Loss Repairs” (44) addresses the evidence needed when the earlier claim included replacement; “Prior Loss History and Request” (49) addresses repair verification and unrepaired damage. Identify the records that resolved a question instead of changing an interim uncertainty into a closing conclusion without explanation.</w:t>
      </w:r>
    </w:p>
    <w:p>
      <w:pPr>
        <w:spacing w:after="120"/>
      </w:pPr>
      <w:r>
        <w:rPr>
          <w:highlight w:val="yellow"/>
          <w:highlightCs w:val="yellow"/>
        </w:rPr>
        <w:t xml:space="preserve">[Material item or issue; evidence reviewed; finding; effect on scope or valuation; explanation of judgment; earlier unresolved question and how it was resolved]</w:t>
      </w:r>
    </w:p>
    <w:p/>
    <w:p>
      <w:pPr>
        <w:pStyle w:val="Heading2"/>
      </w:pPr>
      <w:r>
        <w:t xml:space="preserve">Estimate and settlement reconciliation</w:t>
      </w:r>
    </w:p>
    <w:p>
      <w:pPr>
        <w:spacing w:after="120"/>
      </w:pPr>
      <w:r>
        <w:rPr>
          <w:i/>
          <w:iCs/>
          <w:sz w:val="18"/>
          <w:szCs w:val="18"/>
        </w:rPr>
        <w:t xml:space="preserve">Identify the estimate revision and reconcile its recommendation. “Writing the Building Estimate” (Claims Journey–43) requires a room-by-room, line-item estimate; “Depreciation” (48–49) addresses item age, condition and the rationale for the rate used. Section 2, “Deductibles” (Valuation–2), applies separate building and personal property deductibles. “Loss Settlement” (Valuation–5) describes ACV settlement as repair or replacement cost less depreciation and deductible. The example's summary totals come from assumed itemized schedules; they are not blanket depreciation rates or a universal payment formula for every settlement basis.</w:t>
      </w:r>
    </w:p>
    <w:p>
      <w:pPr>
        <w:spacing w:after="120"/>
      </w:pPr>
      <w:r>
        <w:rPr>
          <w:highlight w:val="yellow"/>
          <w:highlightCs w:val="yellow"/>
        </w:rPr>
        <w:t xml:space="preserve">[Estimate and inventory revisions; applicable settlement basis; repair/replacement cost; supported depreciation; resulting value; respective deductibles and limits; prior payments, if any; reconciled recommendation by coverage]</w:t>
      </w:r>
    </w:p>
    <w:p/>
    <w:p>
      <w:pPr>
        <w:pStyle w:val="Heading2"/>
      </w:pPr>
      <w:r>
        <w:t xml:space="preserve">Policyholder review and proof-of-loss record</w:t>
      </w:r>
    </w:p>
    <w:p>
      <w:pPr>
        <w:spacing w:after="120"/>
      </w:pPr>
      <w:r>
        <w:rPr>
          <w:i/>
          <w:iCs/>
          <w:sz w:val="18"/>
          <w:szCs w:val="18"/>
        </w:rPr>
        <w:t xml:space="preserve">Record the submitted proof-of-loss document and its supporting material separately from the closing narrative. “Proof of Loss” (Claims Journey–56) addresses the policyholder's signed, supported statement of the amount claimed. “Examination—Proof of Loss” (71) directs the examiner to check accuracy, support and matching values. This worksheet records that review trail; sending a closing narrative alone does not establish that proof-of-loss requirements have been satisfied.</w:t>
      </w:r>
    </w:p>
    <w:p>
      <w:pPr>
        <w:spacing w:after="120"/>
      </w:pPr>
      <w:r>
        <w:rPr>
          <w:highlight w:val="yellow"/>
          <w:highlightCs w:val="yellow"/>
        </w:rPr>
        <w:t xml:space="preserve">[Estimate and recommendation provided to policyholder; discussion date; amount claimed; signed proof-of-loss receipt and supporting documents; discrepancy or insurer-authorized alternative, if applicable]</w:t>
      </w:r>
    </w:p>
    <w:p/>
    <w:p>
      <w:pPr>
        <w:pStyle w:val="Heading2"/>
      </w:pPr>
      <w:r>
        <w:t xml:space="preserve">Closing package and examiner review</w:t>
      </w:r>
    </w:p>
    <w:p>
      <w:pPr>
        <w:spacing w:after="120"/>
      </w:pPr>
      <w:r>
        <w:rPr>
          <w:i/>
          <w:iCs/>
          <w:sz w:val="18"/>
          <w:szCs w:val="18"/>
        </w:rPr>
        <w:t xml:space="preserve">List the documents the examiner receives and identify the recommendation being submitted. “Closing Report” (Claims Journey–64) calls for supporting documents and allows multiple narratives when circumstances need more explanation. “Examination—Closing Report” (71) calls for an amended report if more information is required. “Timely Reporting” (33) expects closing within 45 days after the Preliminary Report; if the claim cannot be concluded, use interim reporting as described at pages 33 and 35. “Underwriting Referral” (35) says underwriting issues must be resolved before closing.</w:t>
      </w:r>
    </w:p>
    <w:p>
      <w:pPr>
        <w:spacing w:after="120"/>
      </w:pPr>
      <w:r>
        <w:rPr>
          <w:highlight w:val="yellow"/>
          <w:highlightCs w:val="yellow"/>
        </w:rPr>
        <w:t xml:space="preserve">[Closing recommendation; narrative and estimate revisions; coverage and interest records; photographs and diagrams; proof of loss and supporting evidence; resolved referrals; recipient and delivery date]</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closing recommendation for the Willow Bend flood, claim NF-FICTION-260901, M. Reyes, independent adjuster R. Calloway. All names, dates, policy terms, identifiers, amounts and evidence references are fictional. The example assumes a properly documented ACV settlement basis for both building and personal property, no prior payments, and no applicable limit reducing the calculated amounts. Referenced forms and attachments are illustrative and are not supplied.</w:t>
      </w:r>
    </w:p>
    <w:p/>
    <w:p>
      <w:pPr>
        <w:pStyle w:val="Heading2"/>
      </w:pPr>
      <w:r>
        <w:t xml:space="preserve">Report identity and coverage summary</w:t>
      </w:r>
    </w:p>
    <w:p>
      <w:pPr>
        <w:spacing w:after="120"/>
      </w:pPr>
      <w:r>
        <w:t xml:space="preserve">Closing report dated 2 October 2026 for claim NF-FICTION-260901, policy NF-FICTION-2048, M. Reyes, 214 Willow Bend. Date of loss: 1 September 2026. Adjuster: R. Calloway. The policy record identifies the Dwelling Form, term 1 January 2026 through 1 January 2027, building limit $150,000 and personal property limit $30,000. The respective deductibles are $2,000 and $1,000.</w:t>
      </w:r>
    </w:p>
    <w:p/>
    <w:p>
      <w:pPr>
        <w:spacing w:after="120"/>
      </w:pPr>
      <w:r>
        <w:t xml:space="preserve">The interests record identifies Reyes as owner and lists no mortgage or other reported loss payee. The valuation record supports ACV settlement for this fictional adjustment. The summary below uses that assumed basis; the supporting eligibility record belongs in the package. The stated limits exceed the recommendations, and the payment history shows no advance or earlier payment on this loss.</w:t>
      </w:r>
    </w:p>
    <w:p/>
    <w:p>
      <w:pPr>
        <w:pStyle w:val="Heading2"/>
      </w:pPr>
      <w:r>
        <w:t xml:space="preserve">Claim activity and evidence trail</w:t>
      </w:r>
    </w:p>
    <w:p>
      <w:pPr>
        <w:spacing w:after="120"/>
      </w:pPr>
      <w:r>
        <w:t xml:space="preserve">Assignment was received 2 September; contact occurred that day and inspection on 3 September. The Preliminary Report was delivered 10 September. It recorded floodwater evidence, initial reserves and an unresolved question about cabinet replacement after an earlier flood. The 23 September interim narrative recorded the prior estimate received on 17 September and the general kitchen-work receipt received on 22 September.</w:t>
      </w:r>
    </w:p>
    <w:p/>
    <w:p>
      <w:pPr>
        <w:spacing w:after="120"/>
      </w:pPr>
      <w:r>
        <w:t xml:space="preserve">On 28 September Reyes supplied the contractor's itemized paid invoice and completion photographs. I compared them with the earlier estimate, the current cabinet photographs and the room sketch. The comparison was completed on 29 September and is indexed as the cabinet repair-history note. The initial photographs remain in the package as the record of the current flood observations; later documents supplement that record rather than changing the inspection date or observations.</w:t>
      </w:r>
    </w:p>
    <w:p/>
    <w:p>
      <w:pPr>
        <w:pStyle w:val="Heading2"/>
      </w:pPr>
      <w:r>
        <w:t xml:space="preserve">Adjustment decisions and their evidence</w:t>
      </w:r>
    </w:p>
    <w:p>
      <w:pPr>
        <w:spacing w:after="120"/>
      </w:pPr>
      <w:r>
        <w:t xml:space="preserve">The earlier estimate included replacement of the kitchen base cabinets. The first receipt, described only as kitchen work, did not identify whether replacement occurred. The itemized record received on 28 September identifies removal and replacement of those cabinets, links to the same paid $12,000 receipt and records completion on 18 June 2024. The completion photographs show the installed cabinets before the present flood. Their locations and configuration correspond to the room sketch and the current inspection images.</w:t>
      </w:r>
    </w:p>
    <w:p/>
    <w:p>
      <w:pPr>
        <w:spacing w:after="120"/>
      </w:pPr>
      <w:r>
        <w:t xml:space="preserve">Taken together, those records support replacement after the earlier loss and before this event. The repair-history note documents that comparison. Estimate revision C therefore includes the supported current flood damage to the cabinet items. The earlier $12,000 repair bill is evidence of prior work, not an additional expense added to this claim. The prior-repair question carried in the interim narrative is resolved on these records.</w:t>
      </w:r>
    </w:p>
    <w:p/>
    <w:p>
      <w:pPr>
        <w:pStyle w:val="Heading2"/>
      </w:pPr>
      <w:r>
        <w:t xml:space="preserve">Estimate and settlement reconciliation</w:t>
      </w:r>
    </w:p>
    <w:p>
      <w:pPr>
        <w:spacing w:after="120"/>
      </w:pPr>
      <w:r>
        <w:t xml:space="preserve">Building estimate revision C totals $25,600 before depreciation. Its room-by-room items and depreciation schedule produce $3,600 in depreciation and $22,000 ACV. Personal property inventory revision B totals $8,000 before $2,000 depreciation, producing $6,000 ACV. The depreciation totals are sums of the item-level age and condition assessments, not a single percentage applied to everything.</w:t>
      </w:r>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Mar>
              <w:top w:type="dxa" w:w="60"/>
              <w:left w:type="dxa" w:w="100"/>
              <w:bottom w:type="dxa" w:w="60"/>
              <w:right w:type="dxa" w:w="100"/>
            </w:tcMar>
          </w:tcPr>
          <w:p>
            <w:pPr>
              <w:spacing w:after="0"/>
            </w:pPr>
            <w:r>
              <w:rPr>
                <w:sz w:val="19"/>
                <w:szCs w:val="19"/>
              </w:rPr>
              <w:t xml:space="preserve">Calculation</w:t>
            </w:r>
          </w:p>
        </w:tc>
        <w:tc>
          <w:tcPr>
            <w:tcMar>
              <w:top w:type="dxa" w:w="60"/>
              <w:left w:type="dxa" w:w="100"/>
              <w:bottom w:type="dxa" w:w="60"/>
              <w:right w:type="dxa" w:w="100"/>
            </w:tcMar>
          </w:tcPr>
          <w:p>
            <w:pPr>
              <w:spacing w:after="0"/>
            </w:pPr>
            <w:r>
              <w:rPr>
                <w:sz w:val="19"/>
                <w:szCs w:val="19"/>
              </w:rPr>
              <w:t xml:space="preserve">Building</w:t>
            </w:r>
          </w:p>
        </w:tc>
        <w:tc>
          <w:tcPr>
            <w:tcMar>
              <w:top w:type="dxa" w:w="60"/>
              <w:left w:type="dxa" w:w="100"/>
              <w:bottom w:type="dxa" w:w="60"/>
              <w:right w:type="dxa" w:w="100"/>
            </w:tcMar>
          </w:tcPr>
          <w:p>
            <w:pPr>
              <w:spacing w:after="0"/>
            </w:pPr>
            <w:r>
              <w:rPr>
                <w:sz w:val="19"/>
                <w:szCs w:val="19"/>
              </w:rPr>
              <w:t xml:space="preserve">Personal property</w:t>
            </w:r>
          </w:p>
        </w:tc>
      </w:tr>
      <w:tr>
        <w:trPr>
          <w:tblHeader w:val="false"/>
        </w:trPr>
        <w:tc>
          <w:tcPr>
            <w:tcMar>
              <w:top w:type="dxa" w:w="60"/>
              <w:left w:type="dxa" w:w="100"/>
              <w:bottom w:type="dxa" w:w="60"/>
              <w:right w:type="dxa" w:w="100"/>
            </w:tcMar>
          </w:tcPr>
          <w:p>
            <w:pPr>
              <w:spacing w:after="0"/>
            </w:pPr>
            <w:r>
              <w:rPr>
                <w:sz w:val="19"/>
                <w:szCs w:val="19"/>
              </w:rPr>
              <w:t xml:space="preserve">Repair or replacement cost</w:t>
            </w:r>
          </w:p>
        </w:tc>
        <w:tc>
          <w:tcPr>
            <w:tcMar>
              <w:top w:type="dxa" w:w="60"/>
              <w:left w:type="dxa" w:w="100"/>
              <w:bottom w:type="dxa" w:w="60"/>
              <w:right w:type="dxa" w:w="100"/>
            </w:tcMar>
          </w:tcPr>
          <w:p>
            <w:pPr>
              <w:spacing w:after="0"/>
            </w:pPr>
            <w:r>
              <w:rPr>
                <w:sz w:val="19"/>
                <w:szCs w:val="19"/>
              </w:rPr>
              <w:t xml:space="preserve">$25,600</w:t>
            </w:r>
          </w:p>
        </w:tc>
        <w:tc>
          <w:tcPr>
            <w:tcMar>
              <w:top w:type="dxa" w:w="60"/>
              <w:left w:type="dxa" w:w="100"/>
              <w:bottom w:type="dxa" w:w="60"/>
              <w:right w:type="dxa" w:w="100"/>
            </w:tcMar>
          </w:tcPr>
          <w:p>
            <w:pPr>
              <w:spacing w:after="0"/>
            </w:pPr>
            <w:r>
              <w:rPr>
                <w:sz w:val="19"/>
                <w:szCs w:val="19"/>
              </w:rPr>
              <w:t xml:space="preserve">$8,000</w:t>
            </w:r>
          </w:p>
        </w:tc>
      </w:tr>
      <w:tr>
        <w:trPr>
          <w:tblHeader w:val="false"/>
        </w:trPr>
        <w:tc>
          <w:tcPr>
            <w:tcMar>
              <w:top w:type="dxa" w:w="60"/>
              <w:left w:type="dxa" w:w="100"/>
              <w:bottom w:type="dxa" w:w="60"/>
              <w:right w:type="dxa" w:w="100"/>
            </w:tcMar>
          </w:tcPr>
          <w:p>
            <w:pPr>
              <w:spacing w:after="0"/>
            </w:pPr>
            <w:r>
              <w:rPr>
                <w:sz w:val="19"/>
                <w:szCs w:val="19"/>
              </w:rPr>
              <w:t xml:space="preserve">Less itemized depreciation</w:t>
            </w:r>
          </w:p>
        </w:tc>
        <w:tc>
          <w:tcPr>
            <w:tcMar>
              <w:top w:type="dxa" w:w="60"/>
              <w:left w:type="dxa" w:w="100"/>
              <w:bottom w:type="dxa" w:w="60"/>
              <w:right w:type="dxa" w:w="100"/>
            </w:tcMar>
          </w:tcPr>
          <w:p>
            <w:pPr>
              <w:spacing w:after="0"/>
            </w:pPr>
            <w:r>
              <w:rPr>
                <w:sz w:val="19"/>
                <w:szCs w:val="19"/>
              </w:rPr>
              <w:t xml:space="preserve">$3,600</w:t>
            </w:r>
          </w:p>
        </w:tc>
        <w:tc>
          <w:tcPr>
            <w:tcMar>
              <w:top w:type="dxa" w:w="60"/>
              <w:left w:type="dxa" w:w="100"/>
              <w:bottom w:type="dxa" w:w="60"/>
              <w:right w:type="dxa" w:w="100"/>
            </w:tcMar>
          </w:tcPr>
          <w:p>
            <w:pPr>
              <w:spacing w:after="0"/>
            </w:pPr>
            <w:r>
              <w:rPr>
                <w:sz w:val="19"/>
                <w:szCs w:val="19"/>
              </w:rPr>
              <w:t xml:space="preserve">$2,000</w:t>
            </w:r>
          </w:p>
        </w:tc>
      </w:tr>
      <w:tr>
        <w:trPr>
          <w:tblHeader w:val="false"/>
        </w:trPr>
        <w:tc>
          <w:tcPr>
            <w:tcMar>
              <w:top w:type="dxa" w:w="60"/>
              <w:left w:type="dxa" w:w="100"/>
              <w:bottom w:type="dxa" w:w="60"/>
              <w:right w:type="dxa" w:w="100"/>
            </w:tcMar>
          </w:tcPr>
          <w:p>
            <w:pPr>
              <w:spacing w:after="0"/>
            </w:pPr>
            <w:r>
              <w:rPr>
                <w:sz w:val="19"/>
                <w:szCs w:val="19"/>
              </w:rPr>
              <w:t xml:space="preserve">Actual cash value</w:t>
            </w:r>
          </w:p>
        </w:tc>
        <w:tc>
          <w:tcPr>
            <w:tcMar>
              <w:top w:type="dxa" w:w="60"/>
              <w:left w:type="dxa" w:w="100"/>
              <w:bottom w:type="dxa" w:w="60"/>
              <w:right w:type="dxa" w:w="100"/>
            </w:tcMar>
          </w:tcPr>
          <w:p>
            <w:pPr>
              <w:spacing w:after="0"/>
            </w:pPr>
            <w:r>
              <w:rPr>
                <w:sz w:val="19"/>
                <w:szCs w:val="19"/>
              </w:rPr>
              <w:t xml:space="preserve">$22,000</w:t>
            </w:r>
          </w:p>
        </w:tc>
        <w:tc>
          <w:tcPr>
            <w:tcMar>
              <w:top w:type="dxa" w:w="60"/>
              <w:left w:type="dxa" w:w="100"/>
              <w:bottom w:type="dxa" w:w="60"/>
              <w:right w:type="dxa" w:w="100"/>
            </w:tcMar>
          </w:tcPr>
          <w:p>
            <w:pPr>
              <w:spacing w:after="0"/>
            </w:pPr>
            <w:r>
              <w:rPr>
                <w:sz w:val="19"/>
                <w:szCs w:val="19"/>
              </w:rPr>
              <w:t xml:space="preserve">$6,000</w:t>
            </w:r>
          </w:p>
        </w:tc>
      </w:tr>
      <w:tr>
        <w:trPr>
          <w:tblHeader w:val="false"/>
        </w:trPr>
        <w:tc>
          <w:tcPr>
            <w:tcMar>
              <w:top w:type="dxa" w:w="60"/>
              <w:left w:type="dxa" w:w="100"/>
              <w:bottom w:type="dxa" w:w="60"/>
              <w:right w:type="dxa" w:w="100"/>
            </w:tcMar>
          </w:tcPr>
          <w:p>
            <w:pPr>
              <w:spacing w:after="0"/>
            </w:pPr>
            <w:r>
              <w:rPr>
                <w:sz w:val="19"/>
                <w:szCs w:val="19"/>
              </w:rPr>
              <w:t xml:space="preserve">Less respective deductible</w:t>
            </w:r>
          </w:p>
        </w:tc>
        <w:tc>
          <w:tcPr>
            <w:tcMar>
              <w:top w:type="dxa" w:w="60"/>
              <w:left w:type="dxa" w:w="100"/>
              <w:bottom w:type="dxa" w:w="60"/>
              <w:right w:type="dxa" w:w="100"/>
            </w:tcMar>
          </w:tcPr>
          <w:p>
            <w:pPr>
              <w:spacing w:after="0"/>
            </w:pPr>
            <w:r>
              <w:rPr>
                <w:sz w:val="19"/>
                <w:szCs w:val="19"/>
              </w:rPr>
              <w:t xml:space="preserve">$2,000</w:t>
            </w:r>
          </w:p>
        </w:tc>
        <w:tc>
          <w:tcPr>
            <w:tcMar>
              <w:top w:type="dxa" w:w="60"/>
              <w:left w:type="dxa" w:w="100"/>
              <w:bottom w:type="dxa" w:w="60"/>
              <w:right w:type="dxa" w:w="100"/>
            </w:tcMar>
          </w:tcPr>
          <w:p>
            <w:pPr>
              <w:spacing w:after="0"/>
            </w:pPr>
            <w:r>
              <w:rPr>
                <w:sz w:val="19"/>
                <w:szCs w:val="19"/>
              </w:rPr>
              <w:t xml:space="preserve">$1,000</w:t>
            </w:r>
          </w:p>
        </w:tc>
      </w:tr>
      <w:tr>
        <w:trPr>
          <w:tblHeader w:val="false"/>
        </w:trPr>
        <w:tc>
          <w:tcPr>
            <w:tcMar>
              <w:top w:type="dxa" w:w="60"/>
              <w:left w:type="dxa" w:w="100"/>
              <w:bottom w:type="dxa" w:w="60"/>
              <w:right w:type="dxa" w:w="100"/>
            </w:tcMar>
          </w:tcPr>
          <w:p>
            <w:pPr>
              <w:spacing w:after="0"/>
            </w:pPr>
            <w:r>
              <w:rPr>
                <w:sz w:val="19"/>
                <w:szCs w:val="19"/>
              </w:rPr>
              <w:t xml:space="preserve">Recommended payment</w:t>
            </w:r>
          </w:p>
        </w:tc>
        <w:tc>
          <w:tcPr>
            <w:tcMar>
              <w:top w:type="dxa" w:w="60"/>
              <w:left w:type="dxa" w:w="100"/>
              <w:bottom w:type="dxa" w:w="60"/>
              <w:right w:type="dxa" w:w="100"/>
            </w:tcMar>
          </w:tcPr>
          <w:p>
            <w:pPr>
              <w:spacing w:after="0"/>
            </w:pPr>
            <w:r>
              <w:rPr>
                <w:sz w:val="19"/>
                <w:szCs w:val="19"/>
              </w:rPr>
              <w:t xml:space="preserve">$20,000</w:t>
            </w:r>
          </w:p>
        </w:tc>
        <w:tc>
          <w:tcPr>
            <w:tcMar>
              <w:top w:type="dxa" w:w="60"/>
              <w:left w:type="dxa" w:w="100"/>
              <w:bottom w:type="dxa" w:w="60"/>
              <w:right w:type="dxa" w:w="100"/>
            </w:tcMar>
          </w:tcPr>
          <w:p>
            <w:pPr>
              <w:spacing w:after="0"/>
            </w:pPr>
            <w:r>
              <w:rPr>
                <w:sz w:val="19"/>
                <w:szCs w:val="19"/>
              </w:rPr>
              <w:t xml:space="preserve">$5,000</w:t>
            </w:r>
          </w:p>
        </w:tc>
      </w:tr>
    </w:tbl>
    <w:p/>
    <w:p>
      <w:pPr>
        <w:spacing w:after="120"/>
      </w:pPr>
      <w:r>
        <w:t xml:space="preserve">Total recommendation: $25,000. No prior payment is deducted because none was made in this fictional file. The interim reserves of $26,000 building and $7,000 personal property were preliminary damage approximations. Completed pricing and the verified personal property schedule explain their difference from the final gross values. They were not amounts from which to calculate the checks.</w:t>
      </w:r>
    </w:p>
    <w:p/>
    <w:p>
      <w:pPr>
        <w:pStyle w:val="Heading2"/>
      </w:pPr>
      <w:r>
        <w:t xml:space="preserve">Policyholder review and proof-of-loss record</w:t>
      </w:r>
    </w:p>
    <w:p>
      <w:pPr>
        <w:spacing w:after="120"/>
      </w:pPr>
      <w:r>
        <w:t xml:space="preserve">On 29 September I provided Reyes with building estimate revision C, personal property inventory revision B and the reconciliation. We discussed the cabinet documentation, depreciation and separate deductibles. Reyes's signed proof of loss was received that day, claiming $20,000 building and $5,000 personal property, with the supporting schedules.</w:t>
      </w:r>
    </w:p>
    <w:p/>
    <w:p>
      <w:pPr>
        <w:spacing w:after="120"/>
      </w:pPr>
      <w:r>
        <w:t xml:space="preserve">The package index links the signed document to those revisions so the examiner can compare the amount claimed with the recommendation and its support. No difference between those amounts is recorded in this submission. The signed proof of loss is a separately identified document; this closing narrative is not being submitted as an alternative proof of loss.</w:t>
      </w:r>
    </w:p>
    <w:p/>
    <w:p>
      <w:pPr>
        <w:pStyle w:val="Heading2"/>
      </w:pPr>
      <w:r>
        <w:t xml:space="preserve">Closing package and examiner review</w:t>
      </w:r>
    </w:p>
    <w:p>
      <w:pPr>
        <w:spacing w:after="120"/>
      </w:pPr>
      <w:r>
        <w:t xml:space="preserve">Submitted to the examiner on 2 October: this closing narrative; the policy and interests record; the inspection and event photographs with their index; the measured diagram; building estimate C; inventory B; the itemized depreciation schedules; the cabinet repair-history comparison with the prior estimate, paid invoice and completion photographs; and the signed proof of loss with its supporting schedules.</w:t>
      </w:r>
    </w:p>
    <w:p/>
    <w:p>
      <w:pPr>
        <w:spacing w:after="120"/>
      </w:pPr>
      <w:r>
        <w:t xml:space="preserve">The initial APDA assessment remains documented in the inspection file, and no underwriting referral is open. No further adjustment evidence request remains outstanding in this fictional submission. I recommend $20,000 under building coverage and $5,000 under personal property coverage for examiner review. The delivery record identifies these as recommendations submitted for review, not payments already issued.</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claims.professionaldrafter.com/adjuster-reports/nfip-final-report/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NFIP Final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NFIP Final Report Template &amp; Example</dc:title>
  <dc:creator>Adjuster Report Library</dc:creator>
  <dc:description>An NFIP closing report outline with a completed flood example, documented adjustment decisions and settlement arithmetic. Free Word drafting worksheet.</dc:description>
  <cp:lastModifiedBy>Un-named</cp:lastModifiedBy>
  <cp:revision>1</cp:revision>
  <dcterms:created xsi:type="dcterms:W3CDTF">2026-10-13T13:35:09.401Z</dcterms:created>
  <dcterms:modified xsi:type="dcterms:W3CDTF">2026-10-13T13:35:09.401Z</dcterms:modified>
</cp:coreProperties>
</file>

<file path=docProps/custom.xml><?xml version="1.0" encoding="utf-8"?>
<Properties xmlns="http://schemas.openxmlformats.org/officeDocument/2006/custom-properties" xmlns:vt="http://schemas.openxmlformats.org/officeDocument/2006/docPropsVTypes"/>
</file>