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NFIP Notice of Loss</w:t>
      </w:r>
    </w:p>
    <w:p>
      <w:pPr>
        <w:spacing w:after="120"/>
      </w:pPr>
      <w:r>
        <w:rPr>
          <w:i/>
          <w:iCs/>
          <w:sz w:val="20"/>
          <w:szCs w:val="20"/>
        </w:rPr>
        <w:t xml:space="preserve">Fillable template. Everything highlighted in yellow is yours to replace — 6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claims.professionaldrafter.com/correspondence/nfip-notice-of-loss/</w:t>
      </w:r>
    </w:p>
    <w:p/>
    <w:p>
      <w:pPr>
        <w:pStyle w:val="Heading2"/>
      </w:pPr>
      <w:r>
        <w:t xml:space="preserve">Policy, location and contact record</w:t>
      </w:r>
    </w:p>
    <w:p>
      <w:pPr>
        <w:spacing w:after="120"/>
      </w:pPr>
      <w:r>
        <w:rPr>
          <w:i/>
          <w:iCs/>
          <w:sz w:val="18"/>
          <w:szCs w:val="18"/>
        </w:rPr>
        <w:t xml:space="preserve">“Notice of Loss—Actions to Take” calls for the loss location, lienholders, coverage amounts, temporary address if any, phone numbers and email. Identify the insurer and policy with the notice. “Best Practices Checklist—Initial Actions” (Claims Journey–6) also addresses other insureds and payees. Mark details awaiting confirmation instead of silently filling them from an assumption.</w:t>
      </w:r>
    </w:p>
    <w:p>
      <w:pPr>
        <w:spacing w:after="120"/>
      </w:pPr>
      <w:r>
        <w:rPr>
          <w:highlight w:val="yellow"/>
          <w:highlightCs w:val="yellow"/>
        </w:rPr>
        <w:t xml:space="preserve">[Companion to official First Notice of Loss, not the official form; NFIP insurer; policy; policyholder and other insureds; loss location; lienholders/payees; coverage amounts; current and temporary contact details; items needing confirmation]</w:t>
      </w:r>
    </w:p>
    <w:p/>
    <w:p>
      <w:pPr>
        <w:pStyle w:val="Heading2"/>
      </w:pPr>
      <w:r>
        <w:t xml:space="preserve">Written notice and reported loss date</w:t>
      </w:r>
    </w:p>
    <w:p>
      <w:pPr>
        <w:spacing w:after="120"/>
      </w:pPr>
      <w:r>
        <w:rPr>
          <w:i/>
          <w:iCs/>
          <w:sz w:val="18"/>
          <w:szCs w:val="18"/>
        </w:rPr>
        <w:t xml:space="preserve">Keep the loss date, notice date and insurer receipt distinct. “Notice of Loss—Overview” requires prompt written notice; “Actions to Take” says to note a question about the accuracy of the loss date. Section 2, “Requirements in Case of Loss” (Eligibility–4), describes the date of loss as the adjuster-verified date the claimed flood damaged the property. An intake account may need that later verification.</w:t>
      </w:r>
    </w:p>
    <w:p>
      <w:pPr>
        <w:spacing w:after="120"/>
      </w:pPr>
      <w:r>
        <w:rPr>
          <w:highlight w:val="yellow"/>
          <w:highlightCs w:val="yellow"/>
        </w:rPr>
        <w:t xml:space="preserve">[Written notice text; reported date and timing of flood damage; information source; uncertainty about date; notice sent and insurer receipt; claim reference if assigned]</w:t>
      </w:r>
    </w:p>
    <w:p/>
    <w:p>
      <w:pPr>
        <w:pStyle w:val="Heading2"/>
      </w:pPr>
      <w:r>
        <w:t xml:space="preserve">Reported damage and assignment information</w:t>
      </w:r>
    </w:p>
    <w:p>
      <w:pPr>
        <w:spacing w:after="120"/>
      </w:pPr>
      <w:r>
        <w:rPr>
          <w:i/>
          <w:iCs/>
          <w:sz w:val="18"/>
          <w:szCs w:val="18"/>
        </w:rPr>
        <w:t xml:space="preserve">Under “Notice of Loss—Actions to Take,” record a brief loss description, floodwater depth, affected rooms, extent of damage and unique circumstances, even for a minor loss. Attribute the account and label estimates. Link available images in a [photo log](/investigation-and-scope/claim-photo-log/); the intake record should not pretend to contain an adjuster's later measurement or completed damage assessment.</w:t>
      </w:r>
    </w:p>
    <w:p>
      <w:pPr>
        <w:spacing w:after="120"/>
      </w:pPr>
      <w:r>
        <w:rPr>
          <w:highlight w:val="yellow"/>
          <w:highlightCs w:val="yellow"/>
        </w:rPr>
        <w:t xml:space="preserve">[Policyholder's description; reported water depth and whether measured; affected areas and property; access or other unique circumstances; available photographs; facts still requiring inspection]</w:t>
      </w:r>
    </w:p>
    <w:p/>
    <w:p>
      <w:pPr>
        <w:pStyle w:val="Heading2"/>
      </w:pPr>
      <w:r>
        <w:t xml:space="preserve">Reporting interval and explanation</w:t>
      </w:r>
    </w:p>
    <w:p>
      <w:pPr>
        <w:spacing w:after="120"/>
      </w:pPr>
      <w:r>
        <w:rPr>
          <w:i/>
          <w:iCs/>
          <w:sz w:val="18"/>
          <w:szCs w:val="18"/>
        </w:rPr>
        <w:t xml:space="preserve">“Notice of Loss—Overview” requires documentation of reasons for delay. “Reporting Delays” (Claims Journey–6) asks whether delay impaired investigation and whether the explanation reasonably justifies it, giving restricted access and prolonged inundation as possible explanations. Record the account and the effect on available evidence. A late notice can be a basis for denial; do not convert the date gap alone into an adjuster's denial decision. Section 2, “Authority to Approve” (Eligibility–5), reserves approval or denial to the NFIP insurer.</w:t>
      </w:r>
    </w:p>
    <w:p>
      <w:pPr>
        <w:spacing w:after="120"/>
      </w:pPr>
      <w:r>
        <w:rPr>
          <w:highlight w:val="yellow"/>
          <w:highlightCs w:val="yellow"/>
        </w:rPr>
        <w:t xml:space="preserve">[Loss-to-notice chronology; reason for any delay in the policyholder's words; access restrictions or repairs before notice; evidence remaining or lost; effect on investigation; issue referred to insurer, if applicable]</w:t>
      </w:r>
    </w:p>
    <w:p/>
    <w:p>
      <w:pPr>
        <w:pStyle w:val="Heading2"/>
      </w:pPr>
      <w:r>
        <w:t xml:space="preserve">Damage documentation and immediate guidance</w:t>
      </w:r>
    </w:p>
    <w:p>
      <w:pPr>
        <w:spacing w:after="120"/>
      </w:pPr>
      <w:r>
        <w:rPr>
          <w:i/>
          <w:iCs/>
          <w:sz w:val="18"/>
          <w:szCs w:val="18"/>
        </w:rPr>
        <w:t xml:space="preserve">“Setting Expectations with the Policyholder” (Claims Journey–5–6) addresses photographs, cleanup, dry out and preserving evidence. It also calls for damaged and undamaged property to be separated, samples to be saved, and hazardous items such as chemicals and spoiled food to be discarded after photographing. Its guidance to remove photographed flood-wetted materials when able should be read with those instructions; avoid a blanket direction to retain every unsafe item until inspection.</w:t>
      </w:r>
    </w:p>
    <w:p>
      <w:pPr>
        <w:spacing w:after="120"/>
      </w:pPr>
      <w:r>
        <w:rPr>
          <w:highlight w:val="yellow"/>
          <w:highlightCs w:val="yellow"/>
        </w:rPr>
        <w:t xml:space="preserve">[Images and samples available; damaged/undamaged property separated; cleanup or removal already performed; hazardous items photographed and discarded; guidance supplied and by whom; inspection-preparation questions]</w:t>
      </w:r>
    </w:p>
    <w:p/>
    <w:p>
      <w:pPr>
        <w:pStyle w:val="Heading2"/>
      </w:pPr>
      <w:r>
        <w:t xml:space="preserve">Receipt, assignment and next contact</w:t>
      </w:r>
    </w:p>
    <w:p>
      <w:pPr>
        <w:spacing w:after="120"/>
      </w:pPr>
      <w:r>
        <w:rPr>
          <w:i/>
          <w:iCs/>
          <w:sz w:val="18"/>
          <w:szCs w:val="18"/>
        </w:rPr>
        <w:t xml:space="preserve">“Setting Expectations with the Policyholder” and “Best Practices Checklist” call for clear expectations about timing, communication and the claim process. Record what the insurer or adjuster actually communicates, with assignment and appointment details when available. Keep this record separate from the policyholder's [NFIP proof of loss](/settlement-and-closing/nfip-proof-of-loss/), which is the supported statement of the amount requested under Section 1, “Proof of Loss.”</w:t>
      </w:r>
    </w:p>
    <w:p>
      <w:pPr>
        <w:spacing w:after="120"/>
      </w:pPr>
      <w:r>
        <w:rPr>
          <w:highlight w:val="yellow"/>
          <w:highlightCs w:val="yellow"/>
        </w:rPr>
        <w:t xml:space="preserve">[Written notice receipt; assigned claim reference; adjusting contact when known; contact or appointment actually arranged; information still needed; next action and owner; intake remains provisional pending inspection]</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written notice and intake follow-up for the Willow Bend flood, M. Reyes, later assigned claim NF-FICTION-260901 to R. Calloway. All people, addresses, dates, identifiers, coverage amounts, counts and evidence references are fictional. Actual contact details, forms and attachments are not supplied. This record precedes the inspection and makes no measured-depth or payment finding.</w:t>
      </w:r>
    </w:p>
    <w:p/>
    <w:p>
      <w:pPr>
        <w:pStyle w:val="Heading2"/>
      </w:pPr>
      <w:r>
        <w:t xml:space="preserve">Policy, location and contact record</w:t>
      </w:r>
    </w:p>
    <w:p>
      <w:pPr>
        <w:spacing w:after="120"/>
      </w:pPr>
      <w:r>
        <w:t xml:space="preserve">M. Reyes reports a loss at 214 Willow Bend under policy NF-FICTION-2048 to the NFIP insurer listed on the declarations. The supplied declarations show building coverage of $150,000 and personal property coverage of $30,000. These are recorded as policy coverage amounts, not an assessment of this loss. Reyes reports owning the property and no mortgage or other loss payee.</w:t>
      </w:r>
    </w:p>
    <w:p/>
    <w:p>
      <w:pPr>
        <w:spacing w:after="120"/>
      </w:pPr>
      <w:r>
        <w:t xml:space="preserve">The insurer's intake record holds the current telephone number and email address. Reyes is temporarily staying with a relative and supplied a separate correspondence address through the insurer's portal. Those contact details are omitted from this teaching copy. The loss location remains 214 Willow Bend.</w:t>
      </w:r>
    </w:p>
    <w:p/>
    <w:p>
      <w:pPr>
        <w:pStyle w:val="Heading2"/>
      </w:pPr>
      <w:r>
        <w:t xml:space="preserve">Written notice and reported loss date</w:t>
      </w:r>
    </w:p>
    <w:p>
      <w:pPr>
        <w:spacing w:after="120"/>
      </w:pPr>
      <w:r>
        <w:t xml:space="preserve">Written notice submitted on 2 September 2026: I am reporting flood damage to my home and personal property at 214 Willow Bend. On 1 September, water from the overflowing creek reached the house. Water also covered our yard and the adjoining property. I saw water inside the living room and kitchen. It receded the following morning. Please record this loss and arrange the next steps for inspection.</w:t>
      </w:r>
    </w:p>
    <w:p/>
    <w:p>
      <w:pPr>
        <w:spacing w:after="120"/>
      </w:pPr>
      <w:r>
        <w:t xml:space="preserve">The portal receipt records the written notice on 2 September. The reported loss date is 1 September; Reyes does not give an exact time of entry into the dwelling. The intake record preserves that limit rather than assigning an invented hour.</w:t>
      </w:r>
    </w:p>
    <w:p/>
    <w:p>
      <w:pPr>
        <w:pStyle w:val="Heading2"/>
      </w:pPr>
      <w:r>
        <w:t xml:space="preserve">Reported damage and assignment information</w:t>
      </w:r>
    </w:p>
    <w:p>
      <w:pPr>
        <w:spacing w:after="120"/>
      </w:pPr>
      <w:r>
        <w:t xml:space="preserve">Reyes describes wet lower wall finishes, swollen kitchen cabinet bases and affected floor finishes. Furniture and household items resting near the floor were also wet. The affected rooms identified at intake are the living room and kitchen; quantities and the complete personal property list are not yet available.</w:t>
      </w:r>
    </w:p>
    <w:p/>
    <w:p>
      <w:pPr>
        <w:spacing w:after="120"/>
      </w:pPr>
      <w:r>
        <w:t xml:space="preserve">Reyes describes water reaching above the floor but has not measured its depth. The intake field reads depth unmeasured, with inspection required. Event photographs supplied through the portal show water across the yard and neighboring property. Their source is recorded as Reyes. No adjuster measurement, repair price or conclusion about concealed damage is attributed to those photographs.</w:t>
      </w:r>
    </w:p>
    <w:p/>
    <w:p>
      <w:pPr>
        <w:pStyle w:val="Heading2"/>
      </w:pPr>
      <w:r>
        <w:t xml:space="preserve">Reporting interval and explanation</w:t>
      </w:r>
    </w:p>
    <w:p>
      <w:pPr>
        <w:spacing w:after="120"/>
      </w:pPr>
      <w:r>
        <w:t xml:space="preserve">The reported flood began on 1 September and the written notice was received the next day. Reyes says the family left during the inundation and returned after the water receded on the morning of 2 September. This account explains the chronology recorded at intake; no separate late-reporting issue has been identified at this stage.</w:t>
      </w:r>
    </w:p>
    <w:p/>
    <w:p>
      <w:pPr>
        <w:spacing w:after="120"/>
      </w:pPr>
      <w:r>
        <w:t xml:space="preserve">Reyes reports no permanent repairs before notice. The file records what remains available for inspection and the photographs already supplied. It does not infer that every damaged item is still in its original position, because Reyes has begun separating wet belongings from unaffected items. The inspector will confirm the condition and extent of the damage.</w:t>
      </w:r>
    </w:p>
    <w:p/>
    <w:p>
      <w:pPr>
        <w:pStyle w:val="Heading2"/>
      </w:pPr>
      <w:r>
        <w:t xml:space="preserve">Damage documentation and immediate guidance</w:t>
      </w:r>
    </w:p>
    <w:p>
      <w:pPr>
        <w:spacing w:after="120"/>
      </w:pPr>
      <w:r>
        <w:t xml:space="preserve">The intake follow-up records guidance to photograph building and personal property damage, keep useful material samples and separate damaged from undamaged property. Reyes reports photographing spoiled food before discarding it and retaining the photographs with a written item description. No hazardous material is being kept merely to await the adjuster.</w:t>
      </w:r>
    </w:p>
    <w:p/>
    <w:p>
      <w:pPr>
        <w:spacing w:after="120"/>
      </w:pPr>
      <w:r>
        <w:t xml:space="preserve">The guidance also addresses beginning cleanup and drying, when able, while documenting removed flood-wetted materials. Reyes has not yet supplied a complete inventory. The follow-up note identifies that as work to continue, without changing the written notice into a statement that all damage or all costs have already been established.</w:t>
      </w:r>
    </w:p>
    <w:p/>
    <w:p>
      <w:pPr>
        <w:pStyle w:val="Heading2"/>
      </w:pPr>
      <w:r>
        <w:t xml:space="preserve">Receipt, assignment and next contact</w:t>
      </w:r>
    </w:p>
    <w:p>
      <w:pPr>
        <w:spacing w:after="120"/>
      </w:pPr>
      <w:r>
        <w:t xml:space="preserve">The insurer assigned claim NF-FICTION-260901, and R. Calloway received the assignment on 2 September. Calloway contacted Reyes that day and arranged an inspection for 3 September. The appointment is an actual arrangement recorded in this fictional file, not a general deadline calculated from the notice date.</w:t>
      </w:r>
    </w:p>
    <w:p/>
    <w:p>
      <w:pPr>
        <w:spacing w:after="120"/>
      </w:pPr>
      <w:r>
        <w:t xml:space="preserve">The intake package contains the written notice, receipt, event photographs and follow-up notes. The next action is the agreed inspection, including measurements and confirmation of the affected property. At the end of intake the water depth, detailed scope and amount of loss remain unverified. No reserve or payment amount has been presented as part of the notice.</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claims.professionaldrafter.com/correspondence/nfip-notice-of-loss/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NFIP Notice of Loss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NFIP Notice of Loss Template &amp; Example</dc:title>
  <dc:creator>Adjuster Report Library</dc:creator>
  <dc:description>Draft an NFIP written notice of loss with a worked intake example, delay documentation and June 2025 manual references. Free Word companion worksheet.</dc:description>
  <cp:lastModifiedBy>Un-named</cp:lastModifiedBy>
  <cp:revision>1</cp:revision>
  <dcterms:created xsi:type="dcterms:W3CDTF">2026-10-13T13:35:09.423Z</dcterms:created>
  <dcterms:modified xsi:type="dcterms:W3CDTF">2026-10-13T13:35:09.423Z</dcterms:modified>
</cp:coreProperties>
</file>

<file path=docProps/custom.xml><?xml version="1.0" encoding="utf-8"?>
<Properties xmlns="http://schemas.openxmlformats.org/officeDocument/2006/custom-properties" xmlns:vt="http://schemas.openxmlformats.org/officeDocument/2006/docPropsVTypes"/>
</file>