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NFIP Preliminary Report</w:t>
      </w:r>
    </w:p>
    <w:p>
      <w:pPr>
        <w:spacing w:after="120"/>
      </w:pPr>
      <w:r>
        <w:rPr>
          <w:i/>
          <w:iCs/>
          <w:sz w:val="20"/>
          <w:szCs w:val="20"/>
        </w:rPr>
        <w:t xml:space="preserve">Fillable template. Everything highlighted in yellow is yours to replace — 6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claims.professionaldrafter.com/adjuster-reports/nfip-preliminary-report/</w:t>
      </w:r>
    </w:p>
    <w:p/>
    <w:p>
      <w:pPr>
        <w:pStyle w:val="Heading2"/>
      </w:pPr>
      <w:r>
        <w:t xml:space="preserve">Assignment and form record</w:t>
      </w:r>
    </w:p>
    <w:p>
      <w:pPr>
        <w:spacing w:after="120"/>
      </w:pPr>
      <w:r>
        <w:rPr>
          <w:i/>
          <w:iCs/>
          <w:sz w:val="18"/>
          <w:szCs w:val="18"/>
        </w:rPr>
        <w:t xml:space="preserve">Use this worksheet alongside FEMA form FF-206-FY-21-146, not as a replacement. Record assignment receipt and report delivery separately. Section 1, “Examination—Reporting Overview” (Claims Journey–68), calls for the Preliminary Report to be signed by the adjuster and include the adjuster's FCN. This example uses an independent adjuster. Keep the transmission chronology in the [claim diary](/file-administration/claim-diary-log/).</w:t>
      </w:r>
    </w:p>
    <w:p>
      <w:pPr>
        <w:spacing w:after="120"/>
      </w:pPr>
      <w:r>
        <w:rPr>
          <w:highlight w:val="yellow"/>
          <w:highlightCs w:val="yellow"/>
        </w:rPr>
        <w:t xml:space="preserve">[Claim and policy references; policyholder; property; assignment received; contact and inspection dates; preliminary delivery date; adjuster; signed official form and FCN checked]</w:t>
      </w:r>
    </w:p>
    <w:p/>
    <w:p>
      <w:pPr>
        <w:pStyle w:val="Heading2"/>
      </w:pPr>
      <w:r>
        <w:t xml:space="preserve">Inspection facts and photograph references</w:t>
      </w:r>
    </w:p>
    <w:p>
      <w:pPr>
        <w:spacing w:after="120"/>
      </w:pPr>
      <w:r>
        <w:rPr>
          <w:i/>
          <w:iCs/>
          <w:sz w:val="18"/>
          <w:szCs w:val="18"/>
        </w:rPr>
        <w:t xml:space="preserve">Separate what you observed from what the policyholder reported. Section 1, “Cause of Loss” and “Documenting and Measuring the Waterline” (Claims Journey–11–12), addresses evidence of flood, direct physical loss, source, timing and measured waterlines. “Reporting Overview” (68) calls for perimeter and damage photographs with the Preliminary Report. Identify the images that support each material observation; the [photo log](/investigation-and-scope/claim-photo-log/) can organize the references.</w:t>
      </w:r>
    </w:p>
    <w:p>
      <w:pPr>
        <w:spacing w:after="120"/>
      </w:pPr>
      <w:r>
        <w:rPr>
          <w:highlight w:val="yellow"/>
          <w:highlightCs w:val="yellow"/>
        </w:rPr>
        <w:t xml:space="preserve">[Reported source and timing with attribution; observations supporting flood and damage; exterior and interior waterline measurements and reference points; perimeter and damage photograph references; limits of inspection]</w:t>
      </w:r>
    </w:p>
    <w:p/>
    <w:p>
      <w:pPr>
        <w:pStyle w:val="Heading2"/>
      </w:pPr>
      <w:r>
        <w:t xml:space="preserve">Initial reserves and their basis</w:t>
      </w:r>
    </w:p>
    <w:p>
      <w:pPr>
        <w:spacing w:after="120"/>
      </w:pPr>
      <w:r>
        <w:rPr>
          <w:i/>
          <w:iCs/>
          <w:sz w:val="18"/>
          <w:szCs w:val="18"/>
        </w:rPr>
        <w:t xml:space="preserve">“Preliminary Report—Reserve Amounts” (Claims Journey–34) describes reserves as the adjuster's best approximation of damage to the insured building and personal property before an estimate is prepared, and calls for updates as the claim progresses. Explain the inspection basis and what remains unpriced. The amounts in this worksheet are initial damage approximations, not a completed settlement calculation.</w:t>
      </w:r>
    </w:p>
    <w:p>
      <w:pPr>
        <w:spacing w:after="120"/>
      </w:pPr>
      <w:r>
        <w:rPr>
          <w:highlight w:val="yellow"/>
          <w:highlightCs w:val="yellow"/>
        </w:rPr>
        <w:t xml:space="preserve">[Building reserve and inspection basis; personal property reserve and basis; outstanding quantities or documentation; uncertainty that could change either amount]</w:t>
      </w:r>
    </w:p>
    <w:p/>
    <w:p>
      <w:pPr>
        <w:pStyle w:val="Heading2"/>
      </w:pPr>
      <w:r>
        <w:t xml:space="preserve">Building facts and issues for the examiner</w:t>
      </w:r>
    </w:p>
    <w:p>
      <w:pPr>
        <w:spacing w:after="120"/>
      </w:pPr>
      <w:r>
        <w:rPr>
          <w:i/>
          <w:iCs/>
          <w:sz w:val="18"/>
          <w:szCs w:val="18"/>
        </w:rPr>
        <w:t xml:space="preserve">“Preliminary Report—Building Foundation Components” and “Underwriting Referral” (Claims Journey–34–35) require attention to how the building is constructed and to potential underwriting problems. Refer a potential problem promptly upon discovery, identify the current rating, and supply facts and photographs; disclose uncertainty. “Adjuster Memorandum to the NFIP Insurer” (34) also supports a separate explanation of special issues. This section gathers the facts without reproducing the manual's foundation coverage rules.</w:t>
      </w:r>
    </w:p>
    <w:p>
      <w:pPr>
        <w:spacing w:after="120"/>
      </w:pPr>
      <w:r>
        <w:rPr>
          <w:highlight w:val="yellow"/>
          <w:highlightCs w:val="yellow"/>
        </w:rPr>
        <w:t xml:space="preserve">[Observed foundation and floor configuration; current policy description or rating; discrepancies or unconfirmed facts; special issue and evidence; referral made, recipient and date, if applicable]</w:t>
      </w:r>
    </w:p>
    <w:p/>
    <w:p>
      <w:pPr>
        <w:pStyle w:val="Heading2"/>
      </w:pPr>
      <w:r>
        <w:t xml:space="preserve">Outstanding evidence and next report</w:t>
      </w:r>
    </w:p>
    <w:p>
      <w:pPr>
        <w:spacing w:after="120"/>
      </w:pPr>
      <w:r>
        <w:rPr>
          <w:i/>
          <w:iCs/>
          <w:sz w:val="18"/>
          <w:szCs w:val="18"/>
        </w:rPr>
        <w:t xml:space="preserve">Record what is missing and the next action. “Prior Loss History and Request” (Claims Journey–49) says to ask about prior flood losses and report the information to the insurer; where repairs cannot be substantiated in the preliminary assessment, recommend review of the prior loss file. “Timely Reporting” (33) calls for a Closing Report within 45 days after the Preliminary Report, or an Interim Report when the claim cannot be concluded, then every 30 days until conclusion or as directed by the examiner. These are report intervals, not substitutes for the policyholder's proof-of-loss requirements.</w:t>
      </w:r>
    </w:p>
    <w:p>
      <w:pPr>
        <w:spacing w:after="120"/>
      </w:pPr>
      <w:r>
        <w:rPr>
          <w:highlight w:val="yellow"/>
          <w:highlightCs w:val="yellow"/>
        </w:rPr>
        <w:t xml:space="preserve">[Outstanding evidence; request date and recipient; next action and owner; planned follow-up; preliminary submission date and closing/interim diary entry]</w:t>
      </w:r>
    </w:p>
    <w:p/>
    <w:p>
      <w:pPr>
        <w:pStyle w:val="Heading2"/>
      </w:pPr>
      <w:r>
        <w:t xml:space="preserve">Package check and delivery</w:t>
      </w:r>
    </w:p>
    <w:p>
      <w:pPr>
        <w:spacing w:after="120"/>
      </w:pPr>
      <w:r>
        <w:rPr>
          <w:i/>
          <w:iCs/>
          <w:sz w:val="18"/>
          <w:szCs w:val="18"/>
        </w:rPr>
        <w:t xml:space="preserve">List what actually accompanies the form. Claims Journey–68 supports the signed form, FCN, photographs and examiner review of reserves and concerns. “Adjuster Preliminary Damage Assessment” (35) separately addresses the APDA when a building may have suffered substantial damage and says a copy should accompany the Preliminary Report. Check that requirement against the facts; this companion worksheet does not replace either form. Clearly distinguish delivered attachments from documents still requested.</w:t>
      </w:r>
    </w:p>
    <w:p>
      <w:pPr>
        <w:spacing w:after="120"/>
      </w:pPr>
      <w:r>
        <w:rPr>
          <w:highlight w:val="yellow"/>
          <w:highlightCs w:val="yellow"/>
        </w:rPr>
        <w:t xml:space="preserve">[Official form; perimeter and damage images; reserve explanation; special memorandum or referral; APDA applicability checked and copy if applicable; missing items; recipient and transmission record]</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Willow Bend flood, claim NF-FICTION-260901, insured M. Reyes, independent adjuster R. Calloway. All people, addresses, dates, identifiers, dollar amounts, measurements, counts and attachment references are fictional. No actual forms or evidence accompany this teaching example. The initial report leaves verification of earlier cabinet repairs unresolved.</w:t>
      </w:r>
    </w:p>
    <w:p/>
    <w:p>
      <w:pPr>
        <w:pStyle w:val="Heading2"/>
      </w:pPr>
      <w:r>
        <w:t xml:space="preserve">Assignment and form record</w:t>
      </w:r>
    </w:p>
    <w:p>
      <w:pPr>
        <w:spacing w:after="120"/>
      </w:pPr>
      <w:r>
        <w:t xml:space="preserve">Companion memorandum for the Preliminary Report on claim NF-FICTION-260901, policy NF-FICTION-2048, M. Reyes, 214 Willow Bend. Assignment received 2 September 2026; policyholder contacted that day; inspection completed 3 September. This package was delivered to the examiner on 10 September.</w:t>
      </w:r>
    </w:p>
    <w:p/>
    <w:p>
      <w:pPr>
        <w:spacing w:after="120"/>
      </w:pPr>
      <w:r>
        <w:t xml:space="preserve">The package record identifies the completed official Preliminary Report, signed by R. Calloway. The FCN entry was checked in the fictional file; no credential number or signature is reproduced in this example. The inspection notes and delivery receipt are indexed separately so the examiner can distinguish the visit date from the submission date.</w:t>
      </w:r>
    </w:p>
    <w:p/>
    <w:p>
      <w:pPr>
        <w:pStyle w:val="Heading2"/>
      </w:pPr>
      <w:r>
        <w:t xml:space="preserve">Inspection facts and photograph references</w:t>
      </w:r>
    </w:p>
    <w:p>
      <w:pPr>
        <w:spacing w:after="120"/>
      </w:pPr>
      <w:r>
        <w:t xml:space="preserve">M. Reyes reports that water from the overflowing creek reached the dwelling on 1 September and receded the following morning. Reyes supplied photographs showing water across the subject yard and the adjoining property; the accompanying message identifies them as taken during the event. The reported timing is attributed to Reyes, not presented as my observation during the later inspection.</w:t>
      </w:r>
    </w:p>
    <w:p/>
    <w:p>
      <w:pPr>
        <w:spacing w:after="120"/>
      </w:pPr>
      <w:r>
        <w:t xml:space="preserve">At inspection, debris and staining marked the exterior wall. I measured the highest exterior waterline at 22 inches above the lowest adjacent grade. Interior measurements were 8 inches above the finished living-room floor and 7 inches above the kitchen floor. Images WB-05 through WB-10 show the measurement reference points. The floor plan locates both rooms. Lower wall finishes and the cabinet bases showed wetting and swelling; concealed conditions behind the cabinets were not fully visible. Perimeter images WB-01 through WB-04 and the room images accompany this report.</w:t>
      </w:r>
    </w:p>
    <w:p/>
    <w:p>
      <w:pPr>
        <w:pStyle w:val="Heading2"/>
      </w:pPr>
      <w:r>
        <w:t xml:space="preserve">Initial reserves and their basis</w:t>
      </w:r>
    </w:p>
    <w:p>
      <w:pPr>
        <w:spacing w:after="120"/>
      </w:pPr>
      <w:r>
        <w:t xml:space="preserve">Initial building damage reserve: $24,000. Initial personal property damage reserve: $6,000. These are preliminary damage approximations before a completed estimate, depreciation, deductible and settlement reconciliation. They are not proposed check amounts.</w:t>
      </w:r>
    </w:p>
    <w:p/>
    <w:p>
      <w:pPr>
        <w:spacing w:after="120"/>
      </w:pPr>
      <w:r>
        <w:t xml:space="preserve">The building figure reflects the inspected lower wall finishes, floor finishes, cabinet bases and associated cleanup work. Measured room notes are attached, but cabinet quantities and the itemized repair submission remain incomplete. The personal property figure reflects the photographed furniture and household items on Reyes's initial list; ages and replacement costs remain to be documented. I will revise each reserve when the missing information establishes a better basis. The cabinet repair history could affect the treatment of those items and is specifically identified below.</w:t>
      </w:r>
    </w:p>
    <w:p/>
    <w:p>
      <w:pPr>
        <w:pStyle w:val="Heading2"/>
      </w:pPr>
      <w:r>
        <w:t xml:space="preserve">Building facts and issues for the examiner</w:t>
      </w:r>
    </w:p>
    <w:p>
      <w:pPr>
        <w:spacing w:after="120"/>
      </w:pPr>
      <w:r>
        <w:t xml:space="preserve">The inspected dwelling has a slab floor at the occupied level. The inspection notes and perimeter images describe the visible foundation and floor configuration; no basement or elevated occupied floor was identified during this visit. No discrepancy with the supplied building description was identified in the areas inspected. These statements record the visit and do not purport to describe concealed construction.</w:t>
      </w:r>
    </w:p>
    <w:p/>
    <w:p>
      <w:pPr>
        <w:spacing w:after="120"/>
      </w:pPr>
      <w:r>
        <w:t xml:space="preserve">Reyes reports an earlier flood claim involving kitchen cabinets and states that the damaged cabinets were replaced afterward. No invoice was available at inspection. Current photographs establish the condition now visible, but they do not by themselves establish what was replaced after the earlier event. I have brought this issue to the examiner's attention and requested review of the prior loss file.</w:t>
      </w:r>
    </w:p>
    <w:p/>
    <w:p>
      <w:pPr>
        <w:pStyle w:val="Heading2"/>
      </w:pPr>
      <w:r>
        <w:t xml:space="preserve">Outstanding evidence and next report</w:t>
      </w:r>
    </w:p>
    <w:p>
      <w:pPr>
        <w:spacing w:after="120"/>
      </w:pPr>
      <w:r>
        <w:t xml:space="preserve">On 3 September I requested the earlier cabinet replacement invoice and available completion photographs from Reyes. On 4 September I asked the examiner for the prior estimate and photographs. The earlier repair remains unverified as of this submission. The preliminary reserve is subject to that review; it does not resolve the cabinet item.</w:t>
      </w:r>
    </w:p>
    <w:p/>
    <w:p>
      <w:pPr>
        <w:spacing w:after="120"/>
      </w:pPr>
      <w:r>
        <w:t xml:space="preserve">R. Calloway will follow up on 17 September, compare any received records with the present inspection and report a material change to the examiner. The diary records the 10 September preliminary submission as the reference for the closing or interim reporting interval. The next planned contact is an internal work target, not a new policyholder deadline.</w:t>
      </w:r>
    </w:p>
    <w:p/>
    <w:p>
      <w:pPr>
        <w:pStyle w:val="Heading2"/>
      </w:pPr>
      <w:r>
        <w:t xml:space="preserve">Package check and delivery</w:t>
      </w:r>
    </w:p>
    <w:p>
      <w:pPr>
        <w:spacing w:after="120"/>
      </w:pPr>
      <w:r>
        <w:t xml:space="preserve">The delivery record lists the signed official Preliminary Report, the inspection image index and images, the measured floor plan, the initial personal property list and this reserve and prior-repair memorandum. The examiner can locate the policyholder's event photographs separately from my inspection photographs.</w:t>
      </w:r>
    </w:p>
    <w:p/>
    <w:p>
      <w:pPr>
        <w:spacing w:after="120"/>
      </w:pPr>
      <w:r>
        <w:t xml:space="preserve">The APDA applicability check is recorded in the inspection file. On this fictional inspection record, the building did not appear potentially substantially damaged; no APDA is listed as enclosed. The earlier cabinet invoice and prior claim file are outstanding requests, not attachments. This submission provides the examiner with the available facts and reserves while keeping that evidence gap visible.</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claims.professionaldrafter.com/adjuster-reports/nfip-preliminary-report/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NFIP Preliminary Report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NFIP Preliminary Report Template &amp; Example</dc:title>
  <dc:creator>Adjuster Report Library</dc:creator>
  <dc:description>Prepare an NFIP preliminary report with a worked flood example, reserve rationale and June 2025 manual references. Free Word companion worksheet.</dc:description>
  <cp:lastModifiedBy>Un-named</cp:lastModifiedBy>
  <cp:revision>1</cp:revision>
  <dcterms:created xsi:type="dcterms:W3CDTF">2026-10-13T13:35:09.379Z</dcterms:created>
  <dcterms:modified xsi:type="dcterms:W3CDTF">2026-10-13T13:35:09.379Z</dcterms:modified>
</cp:coreProperties>
</file>

<file path=docProps/custom.xml><?xml version="1.0" encoding="utf-8"?>
<Properties xmlns="http://schemas.openxmlformats.org/officeDocument/2006/custom-properties" xmlns:vt="http://schemas.openxmlformats.org/officeDocument/2006/docPropsVTypes"/>
</file>