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NFIP Proof of Loss</w:t>
      </w:r>
    </w:p>
    <w:p>
      <w:pPr>
        <w:spacing w:after="120"/>
      </w:pPr>
      <w:r>
        <w:rPr>
          <w:i/>
          <w:iCs/>
          <w:sz w:val="20"/>
          <w:szCs w:val="20"/>
        </w:rPr>
        <w:t xml:space="preserve">Fillable template. Everything highlighted in yellow is yours to replace — 6 places in this document. Delete anything that does not apply to your file. If any yellow is left, it is not finished.</w:t>
      </w:r>
    </w:p>
    <w:p>
      <w:pPr>
        <w:spacing w:after="120"/>
      </w:pPr>
      <w:r>
        <w:rPr>
          <w:i/>
          <w:iCs/>
          <w:sz w:val="20"/>
          <w:szCs w:val="20"/>
        </w:rPr>
        <w:t xml:space="preserve">A completed example of this document is on page 2. Section-by-section guidance: claims.professionaldrafter.com/settlement-and-closing/nfip-proof-of-loss/</w:t>
      </w:r>
    </w:p>
    <w:p/>
    <w:p>
      <w:pPr>
        <w:pStyle w:val="Heading2"/>
      </w:pPr>
      <w:r>
        <w:t xml:space="preserve">Claim identity and submission route</w:t>
      </w:r>
    </w:p>
    <w:p>
      <w:pPr>
        <w:spacing w:after="120"/>
      </w:pPr>
      <w:r>
        <w:rPr>
          <w:i/>
          <w:iCs/>
          <w:sz w:val="18"/>
          <w:szCs w:val="18"/>
        </w:rPr>
        <w:t xml:space="preserve">Identify the claim, policyholder, insured location and recipient. Select the official adjuster-prepared or policyholder-prepared form identified in Appendix C–7 and C–10. Under Section 1, “Proof of Loss,” the insurer may instead elect to accept the adjuster's report, which the policyholder must sign. Do not assume that election merely because a closing report exists. This worksheet follows the separate proof-of-loss route.</w:t>
      </w:r>
    </w:p>
    <w:p>
      <w:pPr>
        <w:spacing w:after="120"/>
      </w:pPr>
      <w:r>
        <w:rPr>
          <w:highlight w:val="yellow"/>
          <w:highlightCs w:val="yellow"/>
        </w:rPr>
        <w:t xml:space="preserve">[Companion worksheet only, not an official proof of loss or signature declaration; claim; policy; policyholder; location; NFIP insurer; official form selected or documented insurer election to accept a signed adjuster's report]</w:t>
      </w:r>
    </w:p>
    <w:p/>
    <w:p>
      <w:pPr>
        <w:pStyle w:val="Heading2"/>
      </w:pPr>
      <w:r>
        <w:t xml:space="preserve">Date of loss and deadline record</w:t>
      </w:r>
    </w:p>
    <w:p>
      <w:pPr>
        <w:spacing w:after="120"/>
      </w:pPr>
      <w:r>
        <w:rPr>
          <w:i/>
          <w:iCs/>
          <w:sz w:val="18"/>
          <w:szCs w:val="18"/>
        </w:rPr>
        <w:t xml:space="preserve">Record the date of loss and the applicable filing deadline together. Section 1, “Proof of Loss” (Claims Journey–56), and Section 2, “Multiple Proofs of Loss Allowed” (Eligibility–5), use 60 days from the loss, subject to a FEMA extension. An adjuster's offer to help is a courtesy, not an extension. Keep any applicable FEMA extension and its scope in the file; a planned submission date is only a work target.</w:t>
      </w:r>
    </w:p>
    <w:p>
      <w:pPr>
        <w:spacing w:after="120"/>
      </w:pPr>
      <w:r>
        <w:rPr>
          <w:highlight w:val="yellow"/>
          <w:highlightCs w:val="yellow"/>
        </w:rPr>
        <w:t xml:space="preserve">[Date of loss and basis; 60-day filing deadline checked; applicable FEMA extension and reference, if any; planned submission date; actual submission and receipt record]</w:t>
      </w:r>
    </w:p>
    <w:p/>
    <w:p>
      <w:pPr>
        <w:pStyle w:val="Heading2"/>
      </w:pPr>
      <w:r>
        <w:t xml:space="preserve">Amount requested and supporting versions</w:t>
      </w:r>
    </w:p>
    <w:p>
      <w:pPr>
        <w:spacing w:after="120"/>
      </w:pPr>
      <w:r>
        <w:rPr>
          <w:i/>
          <w:iCs/>
          <w:sz w:val="18"/>
          <w:szCs w:val="18"/>
        </w:rPr>
        <w:t xml:space="preserve">Identify the building and personal property amounts requested and the exact schedules supporting them. Section 2, “Requirements in Case of Loss—Proof of Loss” (Eligibility–5), requires support for both direct physical loss by or from flood and the amount requested. Section 1, “Examination—NFIP Insurer Notes—Proof of Loss” (Claims Journey–71), calls for review of accuracy, support and matching values. Link to the estimate and inventory revisions rather than relying on an unexplained total.</w:t>
      </w:r>
    </w:p>
    <w:p>
      <w:pPr>
        <w:spacing w:after="120"/>
      </w:pPr>
      <w:r>
        <w:rPr>
          <w:highlight w:val="yellow"/>
          <w:highlightCs w:val="yellow"/>
        </w:rPr>
        <w:t xml:space="preserve">[Building amount requested; personal property amount requested; total; estimate and inventory versions; supporting calculation; flood-damage evidence index; any discrepancy requiring resolution]</w:t>
      </w:r>
    </w:p>
    <w:p/>
    <w:p>
      <w:pPr>
        <w:pStyle w:val="Heading2"/>
      </w:pPr>
      <w:r>
        <w:t xml:space="preserve">Policyholder review and signature record</w:t>
      </w:r>
    </w:p>
    <w:p>
      <w:pPr>
        <w:spacing w:after="120"/>
      </w:pPr>
      <w:r>
        <w:rPr>
          <w:i/>
          <w:iCs/>
          <w:sz w:val="18"/>
          <w:szCs w:val="18"/>
        </w:rPr>
        <w:t xml:space="preserve">Appendix C, “Proof of Loss (Adjuster-Prepared),” directs the policyholder to review the information and requested amount. Section 2, “Proof of Loss,” says only the policyholder, or the executor for a deceased policyholder, can sign. “Signed and Sworn” (Eligibility–5) supports electronic signatures under insurer practices and applicable law, with signer intent, association with the document, authentication and preserved document integrity. Record execution of the actual proof; this worksheet supplies no substitute attestation or notary block.</w:t>
      </w:r>
    </w:p>
    <w:p>
      <w:pPr>
        <w:spacing w:after="120"/>
      </w:pPr>
      <w:r>
        <w:rPr>
          <w:highlight w:val="yellow"/>
          <w:highlightCs w:val="yellow"/>
        </w:rPr>
        <w:t xml:space="preserve">[Documents reviewed with policyholder; questions and corrections; actual proof signed and sworn to; signer and date; signature method; completed document preserved with its supporting versions]</w:t>
      </w:r>
    </w:p>
    <w:p/>
    <w:p>
      <w:pPr>
        <w:pStyle w:val="Heading2"/>
      </w:pPr>
      <w:r>
        <w:t xml:space="preserve">Delivery package and receipt</w:t>
      </w:r>
    </w:p>
    <w:p>
      <w:pPr>
        <w:spacing w:after="120"/>
      </w:pPr>
      <w:r>
        <w:rPr>
          <w:i/>
          <w:iCs/>
          <w:sz w:val="18"/>
          <w:szCs w:val="18"/>
        </w:rPr>
        <w:t xml:space="preserve">Section 1, “Proof of Loss,” requires submission to the NFIP insurer with support. Use a package index and receipt record to show the document and attachments delivered. Section 1, “Examination—Proof of Loss,” describes the insurer's accuracy and sufficiency review. Receipt should therefore be recorded separately from a decision accepting the request. The [claim diary](/file-administration/claim-diary-log/) can retain the transmission history.</w:t>
      </w:r>
    </w:p>
    <w:p>
      <w:pPr>
        <w:spacing w:after="120"/>
      </w:pPr>
      <w:r>
        <w:rPr>
          <w:highlight w:val="yellow"/>
          <w:highlightCs w:val="yellow"/>
        </w:rPr>
        <w:t xml:space="preserve">[Recipient; delivery method and date; signed proof version; attached estimate, inventory and evidence; receipt confirmation; insurer response or response still pending]</w:t>
      </w:r>
    </w:p>
    <w:p/>
    <w:p>
      <w:pPr>
        <w:pStyle w:val="Heading2"/>
      </w:pPr>
      <w:r>
        <w:t xml:space="preserve">Additional amounts or filing problems</w:t>
      </w:r>
    </w:p>
    <w:p>
      <w:pPr>
        <w:spacing w:after="120"/>
      </w:pPr>
      <w:r>
        <w:rPr>
          <w:i/>
          <w:iCs/>
          <w:sz w:val="18"/>
          <w:szCs w:val="18"/>
        </w:rPr>
        <w:t xml:space="preserve">Section 2, “Multiple Proofs of Loss Allowed,” keeps additional supported proofs within the same time constraints. Section 1, “Examination—Proof of Loss,” requires a new proof if the amount to be paid exceeds the amount on the proof. Under “Overdue Proof of Loss” (Claims Journey–65), an insurer receiving a signed proof after the deadline must request a waiver through Pivot and obtain FEMA approval before payment. Record the actual status; neither an additional request nor a waiver request establishes its own approval.</w:t>
      </w:r>
    </w:p>
    <w:p>
      <w:pPr>
        <w:spacing w:after="120"/>
      </w:pPr>
      <w:r>
        <w:rPr>
          <w:highlight w:val="yellow"/>
          <w:highlightCs w:val="yellow"/>
        </w:rPr>
        <w:t xml:space="preserve">[Additional amount and supporting revisions, if any; applicable deadline; new proof needed; late submission referred to insurer, if applicable; waiver approval status; unresolved response]</w:t>
      </w:r>
    </w:p>
    <w:p/>
    <w:p>
      <w:pPr>
        <w:spacing w:before="240"/>
      </w:pPr>
      <w:r>
        <w:rPr>
          <w:i/>
          <w:iCs/>
          <w:sz w:val="18"/>
          <w:szCs w:val="18"/>
        </w:rPr>
        <w:t xml:space="preserve">This template is a general drafting aid. It is not legal advice and not a coverage opinion. Claim handling requirements vary by state, and the policy actually issued governs the claim. Adapt this to your file and your jurisdiction. Delete this notice before sending.</w:t>
      </w:r>
    </w:p>
    <w:p>
      <w:r>
        <w:br w:type="page"/>
      </w:r>
    </w:p>
    <w:p>
      <w:pPr>
        <w:pStyle w:val="Heading1"/>
      </w:pPr>
      <w:r>
        <w:t xml:space="preserve">Worked example</w:t>
      </w:r>
    </w:p>
    <w:p>
      <w:pPr>
        <w:pBdr>
          <w:left w:val="single" w:color="999999" w:sz="12" w:space="12"/>
        </w:pBdr>
        <w:spacing w:after="200"/>
      </w:pPr>
      <w:r>
        <w:rPr>
          <w:b/>
          <w:bCs/>
          <w:sz w:val="18"/>
          <w:szCs w:val="18"/>
        </w:rPr>
        <w:t xml:space="preserve">FICTIONAL — for illustration only. Every name, figure and date below is invented. Delete this whole section before you use the template above.</w:t>
      </w:r>
    </w:p>
    <w:p>
      <w:pPr>
        <w:spacing w:after="120"/>
      </w:pPr>
      <w:r>
        <w:rPr>
          <w:i/>
          <w:iCs/>
          <w:sz w:val="20"/>
          <w:szCs w:val="20"/>
        </w:rPr>
        <w:t xml:space="preserve">Fictional scenario: preparation and delivery record for the Willow Bend proof of loss, claim NF-FICTION-260901, M. Reyes, assisted by R. Calloway. All names, addresses, dates, identifiers, dollar amounts, counts and document references are fictional. No signature, official form or actual evidence is supplied. The figures are the amounts already carried into the fictional closing report; this example ends with insurer review pending.</w:t>
      </w:r>
    </w:p>
    <w:p/>
    <w:p>
      <w:pPr>
        <w:pStyle w:val="Heading2"/>
      </w:pPr>
      <w:r>
        <w:t xml:space="preserve">Claim identity and submission route</w:t>
      </w:r>
    </w:p>
    <w:p>
      <w:pPr>
        <w:spacing w:after="120"/>
      </w:pPr>
      <w:r>
        <w:t xml:space="preserve">Preparation record dated 29 September 2026 for M. Reyes, 214 Willow Bend, policy NF-FICTION-2048 and claim NF-FICTION-260901. R. Calloway assisted with the adjuster-prepared official proof of loss. This record indexes that separate document and is not the proof itself.</w:t>
      </w:r>
    </w:p>
    <w:p/>
    <w:p>
      <w:pPr>
        <w:spacing w:after="120"/>
      </w:pPr>
      <w:r>
        <w:t xml:space="preserve">The recipient is the NFIP insurer identified in the policy record. No election to substitute a signed adjuster's report is recorded. The closing narrative will identify the completed proof and supporting schedules as separate documents. Reyes has been given the same versions being assembled for submission so the requested amount can be reviewed against a definite set of records.</w:t>
      </w:r>
    </w:p>
    <w:p/>
    <w:p>
      <w:pPr>
        <w:pStyle w:val="Heading2"/>
      </w:pPr>
      <w:r>
        <w:t xml:space="preserve">Date of loss and deadline record</w:t>
      </w:r>
    </w:p>
    <w:p>
      <w:pPr>
        <w:spacing w:after="120"/>
      </w:pPr>
      <w:r>
        <w:t xml:space="preserve">The loss date in the file is 1 September 2026. That date is consistent with the event account and the inspection record. The deadline check uses the date of loss, not the date of the preliminary submission or the later receipt of contractor records. No FEMA extension is relied upon in this example.</w:t>
      </w:r>
    </w:p>
    <w:p/>
    <w:p>
      <w:pPr>
        <w:spacing w:after="120"/>
      </w:pPr>
      <w:r>
        <w:t xml:space="preserve">The signed proof and its supporting documents were submitted and receipt was recorded on 29 September, within the ordinary filing period. The preparation note retains both the review date and the transmission date. The pending examiner review is not used to change the recorded date of submission.</w:t>
      </w:r>
    </w:p>
    <w:p/>
    <w:p>
      <w:pPr>
        <w:pStyle w:val="Heading2"/>
      </w:pPr>
      <w:r>
        <w:t xml:space="preserve">Amount requested and supporting versions</w:t>
      </w:r>
    </w:p>
    <w:p>
      <w:pPr>
        <w:spacing w:after="120"/>
      </w:pPr>
      <w:r>
        <w:t xml:space="preserve">Reyes requests $20,000 for building damage and $5,000 for personal property, a total of $25,000. The supporting versions are building estimate C, personal property inventory B and the reconciliation dated 29 September. The calculation and its assumed ACV basis remain in those schedules. This index does not introduce another estimate or a second set of values.</w:t>
      </w:r>
    </w:p>
    <w:p/>
    <w:p>
      <w:pPr>
        <w:spacing w:after="120"/>
      </w:pPr>
      <w:r>
        <w:t xml:space="preserve">The package also points to the inspection photographs, measured diagram and evidence supporting the damaged items. The cabinet repair-history comparison is included by reference to its indexed records. It supports the treatment of that item in estimate C; the earlier repair invoice is not a new charge added to the amount requested.</w:t>
      </w:r>
    </w:p>
    <w:p/>
    <w:p>
      <w:pPr>
        <w:pStyle w:val="Heading2"/>
      </w:pPr>
      <w:r>
        <w:t xml:space="preserve">Policyholder review and signature record</w:t>
      </w:r>
    </w:p>
    <w:p>
      <w:pPr>
        <w:spacing w:after="120"/>
      </w:pPr>
      <w:r>
        <w:t xml:space="preserve">On 29 September Calloway reviewed the selected proof, estimate C, inventory B and reconciliation with Reyes. Reyes checked the identifying information and the building and personal property amounts. The discussion record identifies the depreciation and deductible explanations already supplied with the schedules. No different requested amount was recorded after that review.</w:t>
      </w:r>
    </w:p>
    <w:p/>
    <w:p>
      <w:pPr>
        <w:spacing w:after="120"/>
      </w:pPr>
      <w:r>
        <w:t xml:space="preserve">The fictional file records Reyes signing and swearing to the official proof on that date, under its penalty-of-perjury declaration. The completed document is retained with the reviewed schedules. No signature is reproduced here, and Calloway's preparation assistance is not recorded as execution on Reyes's behalf.</w:t>
      </w:r>
    </w:p>
    <w:p/>
    <w:p>
      <w:pPr>
        <w:pStyle w:val="Heading2"/>
      </w:pPr>
      <w:r>
        <w:t xml:space="preserve">Delivery package and receipt</w:t>
      </w:r>
    </w:p>
    <w:p>
      <w:pPr>
        <w:spacing w:after="120"/>
      </w:pPr>
      <w:r>
        <w:t xml:space="preserve">The insurer's claim portal receipt records delivery on 29 September of the signed proof, building estimate C, inventory B, the reconciliation and the supporting evidence index with its listed records. The receipt and the submitted documents are retained together in the claim file. The index identifies the cabinet comparison records and the flood-damage photographs separately so either can be found without searching the full narrative.</w:t>
      </w:r>
    </w:p>
    <w:p/>
    <w:p>
      <w:pPr>
        <w:spacing w:after="120"/>
      </w:pPr>
      <w:r>
        <w:t xml:space="preserve">The diary records submission and receipt, not payment approval. The same proof version is the one to be identified in the closing package. No later unsigned draft has replaced the signed copy in the submission record.</w:t>
      </w:r>
    </w:p>
    <w:p/>
    <w:p>
      <w:pPr>
        <w:pStyle w:val="Heading2"/>
      </w:pPr>
      <w:r>
        <w:t xml:space="preserve">Additional amounts or filing problems</w:t>
      </w:r>
    </w:p>
    <w:p>
      <w:pPr>
        <w:spacing w:after="120"/>
      </w:pPr>
      <w:r>
        <w:t xml:space="preserve">No additional amount is requested in this submission, and no late-proof waiver is being relied upon. If a later request changes the amount, the current proof and its receipt will remain identifiable, with the new request linked to its own supporting revision and filing review.</w:t>
      </w:r>
    </w:p>
    <w:p/>
    <w:p>
      <w:pPr>
        <w:spacing w:after="120"/>
      </w:pPr>
      <w:r>
        <w:t xml:space="preserve">At the end of this preparation record, the insurer has received the package but has not communicated its determination. The next file action is to record that response and address any identified deficiency. The $25,000 is Reyes's supported request and Calloway's corresponding recommendation; the receipt is not evidence that a check has been issued.</w:t>
      </w:r>
    </w:p>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6"/>
        <w:szCs w:val="16"/>
      </w:rPr>
      <w:t xml:space="preserve">Page </w:t>
    </w:r>
    <w:r>
      <w:rPr>
        <w:sz w:val="16"/>
        <w:szCs w:val="16"/>
      </w:rPr>
      <w:fldChar w:fldCharType="begin"/>
      <w:instrText xml:space="preserve">PAGE</w:instrText>
      <w:fldChar w:fldCharType="separate"/>
      <w:fldChar w:fldCharType="end"/>
    </w:r>
    <w:r>
      <w:rPr>
        <w:sz w:val="16"/>
        <w:szCs w:val="16"/>
      </w:rPr>
      <w:t xml:space="preserve"> of </w:t>
    </w:r>
    <w:r>
      <w:rPr>
        <w:sz w:val="16"/>
        <w:szCs w:val="16"/>
      </w:rPr>
      <w:fldChar w:fldCharType="begin"/>
      <w:instrText xml:space="preserve">NUMPAGES</w:instrText>
      <w:fldChar w:fldCharType="separate"/>
      <w:fldChar w:fldCharType="end"/>
    </w:r>
    <w:r>
      <w:rPr>
        <w:i/>
        <w:iCs/>
        <w:sz w:val="16"/>
        <w:szCs w:val="16"/>
      </w:rPr>
      <w:t xml:space="preserve">   claims.professionaldrafter.com/settlement-and-closing/nfip-proof-of-loss/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sz w:val="16"/>
        <w:szCs w:val="16"/>
      </w:rPr>
      <w:t xml:space="preserve">NFIP Proof of Loss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NFIP Proof of Loss Template &amp; Example</dc:title>
  <dc:creator>Adjuster Report Library</dc:creator>
  <dc:description>Prepare an NFIP proof-of-loss package with a worked example, the June 2025 manual's deadline and official form references. Free Word companion worksheet.</dc:description>
  <cp:lastModifiedBy>Un-named</cp:lastModifiedBy>
  <cp:revision>1</cp:revision>
  <dcterms:created xsi:type="dcterms:W3CDTF">2026-10-13T13:35:09.412Z</dcterms:created>
  <dcterms:modified xsi:type="dcterms:W3CDTF">2026-10-13T13:35:09.412Z</dcterms:modified>
</cp:coreProperties>
</file>

<file path=docProps/custom.xml><?xml version="1.0" encoding="utf-8"?>
<Properties xmlns="http://schemas.openxmlformats.org/officeDocument/2006/custom-properties" xmlns:vt="http://schemas.openxmlformats.org/officeDocument/2006/docPropsVTypes"/>
</file>