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Public Adjuster Closing Report</w:t>
      </w:r>
    </w:p>
    <w:p>
      <w:pPr>
        <w:spacing w:after="120"/>
      </w:pPr>
      <w:r>
        <w:rPr>
          <w:i/>
          <w:iCs/>
          <w:sz w:val="20"/>
          <w:szCs w:val="20"/>
        </w:rPr>
        <w:t xml:space="preserve">Fillable template. Everything highlighted in yellow is yours to replace — 22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claims.professionaldrafter.com/public-adjuster/pa-closing-report/</w:t>
      </w:r>
    </w:p>
    <w:p/>
    <w:p>
      <w:pPr>
        <w:pStyle w:val="Heading2"/>
      </w:pPr>
      <w:r>
        <w:t xml:space="preserve">The engagement and how it ended</w:t>
      </w:r>
    </w:p>
    <w:p>
      <w:pPr>
        <w:spacing w:after="120"/>
      </w:pPr>
      <w:r>
        <w:rPr>
          <w:i/>
          <w:iCs/>
          <w:sz w:val="18"/>
          <w:szCs w:val="18"/>
        </w:rPr>
        <w:t xml:space="preserve">Identify the contract by its signature date, the claim, and the date and manner the engagement ended. Say which of the possibilities it was — settlement, withdrawal, termination by the insured, termination by the firm — because 'the file closed' describes several different things with different consequences.</w:t>
      </w:r>
    </w:p>
    <w:p>
      <w:pPr>
        <w:spacing w:after="120"/>
      </w:pPr>
      <w:r>
        <w:t xml:space="preserve">Contract signed: </w:t>
      </w:r>
      <w:r>
        <w:rPr>
          <w:highlight w:val="yellow"/>
          <w:highlightCs w:val="yellow"/>
        </w:rPr>
        <w:t xml:space="preserve">[ ______________________ ]</w:t>
      </w:r>
    </w:p>
    <w:p>
      <w:pPr>
        <w:spacing w:after="120"/>
      </w:pPr>
      <w:r>
        <w:t xml:space="preserve">Claim number: </w:t>
      </w:r>
      <w:r>
        <w:rPr>
          <w:highlight w:val="yellow"/>
          <w:highlightCs w:val="yellow"/>
        </w:rPr>
        <w:t xml:space="preserve">[ ______________________ ]</w:t>
      </w:r>
    </w:p>
    <w:p>
      <w:pPr>
        <w:spacing w:after="120"/>
      </w:pPr>
      <w:r>
        <w:t xml:space="preserve">Engagement ended on: </w:t>
      </w:r>
      <w:r>
        <w:rPr>
          <w:highlight w:val="yellow"/>
          <w:highlightCs w:val="yellow"/>
        </w:rPr>
        <w:t xml:space="preserve">[ ______________________ ]</w:t>
      </w:r>
    </w:p>
    <w:p>
      <w:pPr>
        <w:spacing w:after="120"/>
      </w:pPr>
      <w:r>
        <w:t xml:space="preserve">How: </w:t>
      </w:r>
      <w:r>
        <w:rPr>
          <w:highlight w:val="yellow"/>
          <w:highlightCs w:val="yellow"/>
        </w:rPr>
        <w:t xml:space="preserve">[Settlement / withdrawal / termination by insured / by firm]</w:t>
      </w:r>
    </w:p>
    <w:p>
      <w:pPr>
        <w:spacing w:after="120"/>
      </w:pPr>
      <w:r>
        <w:rPr>
          <w:highlight w:val="yellow"/>
          <w:highlightCs w:val="yellow"/>
        </w:rPr>
        <w:t xml:space="preserve">[Contract date; claim; date engagement ended; how it ended]</w:t>
      </w:r>
    </w:p>
    <w:p/>
    <w:p>
      <w:pPr>
        <w:pStyle w:val="Heading2"/>
      </w:pPr>
      <w:r>
        <w:t xml:space="preserve">What was done</w:t>
      </w:r>
    </w:p>
    <w:p>
      <w:pPr>
        <w:spacing w:after="120"/>
      </w:pPr>
      <w:r>
        <w:rPr>
          <w:i/>
          <w:iCs/>
          <w:sz w:val="18"/>
          <w:szCs w:val="18"/>
        </w:rPr>
        <w:t xml:space="preserve">A short account of the work, in sequence and dated. Not a justification of the fee — the fee is justified by the contract and the accounting — but a record the insured can read in two years when they no longer remember who did what. Keep it factual and keep it short.</w:t>
      </w:r>
    </w:p>
    <w:p>
      <w:pPr>
        <w:spacing w:after="120"/>
      </w:pPr>
      <w:r>
        <w:rPr>
          <w:highlight w:val="yellow"/>
          <w:highlightCs w:val="yellow"/>
        </w:rPr>
        <w:t xml:space="preserve">[Dated sequence of the work performed]</w:t>
      </w:r>
    </w:p>
    <w:p/>
    <w:p>
      <w:pPr>
        <w:pStyle w:val="Heading2"/>
      </w:pPr>
      <w:r>
        <w:t xml:space="preserve">Outcome, and the accounting</w:t>
      </w:r>
    </w:p>
    <w:p>
      <w:pPr>
        <w:spacing w:after="120"/>
      </w:pPr>
      <w:r>
        <w:rPr>
          <w:i/>
          <w:iCs/>
          <w:sz w:val="18"/>
          <w:szCs w:val="18"/>
        </w:rPr>
        <w:t xml:space="preserve">The position at close: total recovered, the fee, the approved expenses, and the net to the insured. Cross-reference the itemized statements rather than restating them at length, and attach them. Where the engagement ended without a settlement, say what the position was when it ended rather than leaving the outcome blank.</w:t>
      </w:r>
    </w:p>
    <w:p>
      <w:pPr>
        <w:spacing w:after="120"/>
      </w:pPr>
      <w:r>
        <w:t xml:space="preserve">Total recovered: </w:t>
      </w:r>
      <w:r>
        <w:rPr>
          <w:highlight w:val="yellow"/>
          <w:highlightCs w:val="yellow"/>
        </w:rPr>
        <w:t xml:space="preserve">[ ______________________ ]</w:t>
      </w:r>
    </w:p>
    <w:p>
      <w:pPr>
        <w:spacing w:after="120"/>
      </w:pPr>
      <w:r>
        <w:t xml:space="preserve">Fee charged: </w:t>
      </w:r>
      <w:r>
        <w:rPr>
          <w:highlight w:val="yellow"/>
          <w:highlightCs w:val="yellow"/>
        </w:rPr>
        <w:t xml:space="preserve">[ ______________________ ]</w:t>
      </w:r>
    </w:p>
    <w:p>
      <w:pPr>
        <w:spacing w:after="120"/>
      </w:pPr>
      <w:r>
        <w:t xml:space="preserve">Approved expenses: </w:t>
      </w:r>
      <w:r>
        <w:rPr>
          <w:highlight w:val="yellow"/>
          <w:highlightCs w:val="yellow"/>
        </w:rPr>
        <w:t xml:space="preserve">[ ______________________ ]</w:t>
      </w:r>
    </w:p>
    <w:p>
      <w:pPr>
        <w:spacing w:after="120"/>
      </w:pPr>
      <w:r>
        <w:t xml:space="preserve">Net to insured: </w:t>
      </w:r>
      <w:r>
        <w:rPr>
          <w:highlight w:val="yellow"/>
          <w:highlightCs w:val="yellow"/>
        </w:rPr>
        <w:t xml:space="preserve">[ ______________________ ]</w:t>
      </w:r>
    </w:p>
    <w:p>
      <w:pPr>
        <w:spacing w:after="120"/>
      </w:pPr>
      <w:r>
        <w:rPr>
          <w:highlight w:val="yellow"/>
          <w:highlightCs w:val="yellow"/>
        </w:rPr>
        <w:t xml:space="preserve">[Total recovered; fee; expenses; net to insured; reference to the itemized statements]</w:t>
      </w:r>
    </w:p>
    <w:p/>
    <w:p>
      <w:pPr>
        <w:pStyle w:val="Heading2"/>
      </w:pPr>
      <w:r>
        <w:t xml:space="preserve">What remains open</w:t>
      </w:r>
    </w:p>
    <w:p>
      <w:pPr>
        <w:spacing w:after="120"/>
      </w:pPr>
      <w:r>
        <w:rPr>
          <w:i/>
          <w:iCs/>
          <w:sz w:val="18"/>
          <w:szCs w:val="18"/>
        </w:rPr>
        <w:t xml:space="preserve">The most valuable section in the document. Recoverable depreciation not yet claimed, a supplement in progress, an appraisal not concluded, a code upgrade allowance conditional on work being done. Each item gets what it is, what has to happen, who has to do it, and by when. An item with no owner and no date is not being handed over, it is being abandoned.</w:t>
      </w:r>
    </w:p>
    <w:p>
      <w:pPr>
        <w:spacing w:after="120"/>
      </w:pPr>
      <w:r>
        <w:t xml:space="preserve">Open item: </w:t>
      </w:r>
      <w:r>
        <w:rPr>
          <w:highlight w:val="yellow"/>
          <w:highlightCs w:val="yellow"/>
        </w:rPr>
        <w:t xml:space="preserve">[ ______________________ ]</w:t>
      </w:r>
    </w:p>
    <w:p>
      <w:pPr>
        <w:spacing w:after="120"/>
      </w:pPr>
      <w:r>
        <w:t xml:space="preserve">Action required: </w:t>
      </w:r>
      <w:r>
        <w:rPr>
          <w:highlight w:val="yellow"/>
          <w:highlightCs w:val="yellow"/>
        </w:rPr>
        <w:t xml:space="preserve">[ ______________________ ]</w:t>
      </w:r>
    </w:p>
    <w:p>
      <w:pPr>
        <w:spacing w:after="120"/>
      </w:pPr>
      <w:r>
        <w:t xml:space="preserve">Who must act: </w:t>
      </w:r>
      <w:r>
        <w:rPr>
          <w:highlight w:val="yellow"/>
          <w:highlightCs w:val="yellow"/>
        </w:rPr>
        <w:t xml:space="preserve">[ ______________________ ]</w:t>
      </w:r>
    </w:p>
    <w:p>
      <w:pPr>
        <w:spacing w:after="120"/>
      </w:pPr>
      <w:r>
        <w:t xml:space="preserve">By when: </w:t>
      </w:r>
      <w:r>
        <w:rPr>
          <w:highlight w:val="yellow"/>
          <w:highlightCs w:val="yellow"/>
        </w:rPr>
        <w:t xml:space="preserve">[A date, not 'in due course']</w:t>
      </w:r>
    </w:p>
    <w:p>
      <w:pPr>
        <w:spacing w:after="120"/>
      </w:pPr>
      <w:r>
        <w:rPr>
          <w:highlight w:val="yellow"/>
          <w:highlightCs w:val="yellow"/>
        </w:rPr>
        <w:t xml:space="preserve">[Each open item: what it is, the action required, who must act, and by when]</w:t>
      </w:r>
    </w:p>
    <w:p/>
    <w:p>
      <w:pPr>
        <w:pStyle w:val="Heading2"/>
      </w:pPr>
      <w:r>
        <w:t xml:space="preserve">Deadlines that survive the engagement</w:t>
      </w:r>
    </w:p>
    <w:p>
      <w:pPr>
        <w:spacing w:after="120"/>
      </w:pPr>
      <w:r>
        <w:rPr>
          <w:i/>
          <w:iCs/>
          <w:sz w:val="18"/>
          <w:szCs w:val="18"/>
        </w:rPr>
        <w:t xml:space="preserve">Set out every date that outlives the representation: the suit limitation under the policy, any supplemental or reopened claim deadline, deadlines for claiming recoverable depreciation or replacement cost benefits. State each as a date rather than a period, because a period requires the reader to do arithmetic from a start date they may misremember. This is the handover that matters most, and the insured is now the only person tracking it.</w:t>
      </w:r>
    </w:p>
    <w:p>
      <w:pPr>
        <w:spacing w:after="120"/>
      </w:pPr>
      <w:r>
        <w:t xml:space="preserve">Deadline: </w:t>
      </w:r>
      <w:r>
        <w:rPr>
          <w:highlight w:val="yellow"/>
          <w:highlightCs w:val="yellow"/>
        </w:rPr>
        <w:t xml:space="preserve">[ ______________________ ]</w:t>
      </w:r>
    </w:p>
    <w:p>
      <w:pPr>
        <w:spacing w:after="120"/>
      </w:pPr>
      <w:r>
        <w:t xml:space="preserve">Date: </w:t>
      </w:r>
      <w:r>
        <w:rPr>
          <w:highlight w:val="yellow"/>
          <w:highlightCs w:val="yellow"/>
        </w:rPr>
        <w:t xml:space="preserve">[A calendar date — not '24 months from loss']</w:t>
      </w:r>
    </w:p>
    <w:p>
      <w:pPr>
        <w:spacing w:after="120"/>
      </w:pPr>
      <w:r>
        <w:t xml:space="preserve">Source: </w:t>
      </w:r>
      <w:r>
        <w:rPr>
          <w:highlight w:val="yellow"/>
          <w:highlightCs w:val="yellow"/>
        </w:rPr>
        <w:t xml:space="preserve">[Policy condition or statute]</w:t>
      </w:r>
    </w:p>
    <w:p>
      <w:pPr>
        <w:spacing w:after="120"/>
      </w:pPr>
      <w:r>
        <w:rPr>
          <w:highlight w:val="yellow"/>
          <w:highlightCs w:val="yellow"/>
        </w:rPr>
        <w:t xml:space="preserve">[Each surviving deadline as a calendar date, with its source]</w:t>
      </w:r>
    </w:p>
    <w:p/>
    <w:p>
      <w:pPr>
        <w:pStyle w:val="Heading2"/>
      </w:pPr>
      <w:r>
        <w:t xml:space="preserve">Documents returned and retained</w:t>
      </w:r>
    </w:p>
    <w:p>
      <w:pPr>
        <w:spacing w:after="120"/>
      </w:pPr>
      <w:r>
        <w:rPr>
          <w:i/>
          <w:iCs/>
          <w:sz w:val="18"/>
          <w:szCs w:val="18"/>
        </w:rPr>
        <w:t xml:space="preserve">What is going back to the insured, what the firm keeps and why, and where the insured can get a copy later. Records are retained for at least five years after the transaction terminates and are open to the commissioner, so say that plainly rather than leaving the insured to assume their file has been destroyed or that it has been shared.</w:t>
      </w:r>
    </w:p>
    <w:p>
      <w:pPr>
        <w:spacing w:after="120"/>
      </w:pPr>
      <w:r>
        <w:rPr>
          <w:highlight w:val="yellow"/>
          <w:highlightCs w:val="yellow"/>
        </w:rPr>
        <w:t xml:space="preserve">[Documents returned; documents retained and the retention period; how to request copies]</w:t>
      </w:r>
    </w:p>
    <w:p/>
    <w:p>
      <w:pPr>
        <w:pStyle w:val="Heading2"/>
      </w:pPr>
      <w:r>
        <w:t xml:space="preserve">Closing statements</w:t>
      </w:r>
    </w:p>
    <w:p>
      <w:pPr>
        <w:spacing w:after="120"/>
      </w:pPr>
      <w:r>
        <w:rPr>
          <w:i/>
          <w:iCs/>
          <w:sz w:val="18"/>
          <w:szCs w:val="18"/>
        </w:rPr>
        <w:t xml:space="preserve">Confirm the representation has ended and that the carrier has been notified, so the insured is not left assuming someone else is still receiving their correspondence. Confirm the fee position is final. Where anything remains chargeable — a supplement within scope of the contract — say so now rather than raising it later.</w:t>
      </w:r>
    </w:p>
    <w:p>
      <w:pPr>
        <w:spacing w:after="120"/>
      </w:pPr>
      <w:r>
        <w:rPr>
          <w:highlight w:val="yellow"/>
          <w:highlightCs w:val="yellow"/>
        </w:rPr>
        <w:t xml:space="preserve">[Representation ended and carrier notified; fee position final; anything remaining chargeable]</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closing report on the Harbour Lane engagement, claim PC-2026-11482, issued 2 October 2026 after the supplement settled. Two items remain open and one of them has a date the insured must meet himself.</w:t>
      </w:r>
    </w:p>
    <w:p/>
    <w:p>
      <w:pPr>
        <w:pStyle w:val="Heading2"/>
      </w:pPr>
      <w:r>
        <w:t xml:space="preserve">The engagement and what was done</w:t>
      </w:r>
    </w:p>
    <w:p>
      <w:pPr>
        <w:spacing w:after="120"/>
      </w:pPr>
      <w:r>
        <w:t xml:space="preserve">Public Adjuster Contract signed 5 August 2026. Claim PC-2026-11482, water loss of 14 July 2026 at 41 Harbour Lane.</w:t>
      </w:r>
    </w:p>
    <w:p/>
    <w:p>
      <w:pPr>
        <w:spacing w:after="120"/>
      </w:pPr>
      <w:r>
        <w:t xml:space="preserve">Engagement ended 30 September 2026 on settlement of the supplemental claim. Ended by completion, not by termination on either side.</w:t>
      </w:r>
    </w:p>
    <w:p/>
    <w:p>
      <w:pPr>
        <w:spacing w:after="120"/>
      </w:pPr>
      <w:r>
        <w:t xml:space="preserve">Work performed:</w:t>
      </w:r>
    </w:p>
    <w:p>
      <w:pPr>
        <w:spacing w:after="120"/>
      </w:pPr>
      <w:r>
        <w:t xml:space="preserve">— 11 Aug: notification of representation to the carrier, with document requests.</w:t>
      </w:r>
    </w:p>
    <w:p>
      <w:pPr>
        <w:spacing w:after="120"/>
      </w:pPr>
      <w:r>
        <w:t xml:space="preserve">— 13 Aug: measured the property and photographed the loss following flooring and cabinetry removal.</w:t>
      </w:r>
    </w:p>
    <w:p>
      <w:pPr>
        <w:spacing w:after="120"/>
      </w:pPr>
      <w:r>
        <w:t xml:space="preserve">— 19 Aug: estimate reconciliation issued, $18,340 against $29,880, identifying three omitted scope lines.</w:t>
      </w:r>
    </w:p>
    <w:p>
      <w:pPr>
        <w:spacing w:after="120"/>
      </w:pPr>
      <w:r>
        <w:t xml:space="preserve">— 27 Aug: re-inspection attended with R. Calloway.</w:t>
      </w:r>
    </w:p>
    <w:p>
      <w:pPr>
        <w:spacing w:after="120"/>
      </w:pPr>
      <w:r>
        <w:t xml:space="preserve">— 2 Sep: carrier revised its estimate to $24,120.</w:t>
      </w:r>
    </w:p>
    <w:p>
      <w:pPr>
        <w:spacing w:after="120"/>
      </w:pPr>
      <w:r>
        <w:t xml:space="preserve">— 9 Sep: appraisal demanded on three remaining lines.</w:t>
      </w:r>
    </w:p>
    <w:p>
      <w:pPr>
        <w:spacing w:after="120"/>
      </w:pPr>
      <w:r>
        <w:t xml:space="preserve">— 16 Sep: supplement notified following discovery of concealed cavity damage on 15 September.</w:t>
      </w:r>
    </w:p>
    <w:p>
      <w:pPr>
        <w:spacing w:after="120"/>
      </w:pPr>
      <w:r>
        <w:t xml:space="preserve">— 24 Sep: appraisal resolved by agreement before the panel was constituted; cabinetry line agreed at 11 LF, drying at 6 days, antimicrobial at 480 SF.</w:t>
      </w:r>
    </w:p>
    <w:p>
      <w:pPr>
        <w:spacing w:after="120"/>
      </w:pPr>
      <w:r>
        <w:t xml:space="preserve">— 30 Sep: supplement settled at $6,290 and the file closed.</w:t>
      </w:r>
    </w:p>
    <w:p/>
    <w:p>
      <w:pPr>
        <w:spacing w:after="120"/>
      </w:pPr>
      <w:r>
        <w:t xml:space="preserve">The appraisal demand did not proceed to an award. It is recorded because it was made, it had a cost consequence that did not materialise, and a closing report that omitted it would be an incomplete account of the engagement.</w:t>
      </w:r>
    </w:p>
    <w:p/>
    <w:p>
      <w:pPr>
        <w:pStyle w:val="Heading2"/>
      </w:pPr>
      <w:r>
        <w:t xml:space="preserve">Outcome, and the accounting</w:t>
      </w:r>
    </w:p>
    <w:p>
      <w:pPr>
        <w:spacing w:after="120"/>
      </w:pPr>
      <w:r>
        <w:t xml:space="preserve">Total recovered on the claim: $33,700.00</w:t>
      </w:r>
    </w:p>
    <w:p>
      <w:pPr>
        <w:spacing w:after="120"/>
      </w:pPr>
      <w:r>
        <w:t xml:space="preserve">— Pre-contract payments, no fee charged: $6,200.00</w:t>
      </w:r>
    </w:p>
    <w:p>
      <w:pPr>
        <w:spacing w:after="120"/>
      </w:pPr>
      <w:r>
        <w:t xml:space="preserve">— Recovered after the contract date: $27,500.00</w:t>
      </w:r>
    </w:p>
    <w:p/>
    <w:p>
      <w:pPr>
        <w:spacing w:after="120"/>
      </w:pPr>
      <w:r>
        <w:t xml:space="preserve">Fee: $2,750.00, being 10% of amounts recovered after 5 August 2026, per the contract.</w:t>
      </w:r>
    </w:p>
    <w:p>
      <w:pPr>
        <w:spacing w:after="120"/>
      </w:pPr>
      <w:r>
        <w:t xml:space="preserve">Approved expenses: $610.00, all within the estimates specified in the contract.</w:t>
      </w:r>
    </w:p>
    <w:p>
      <w:pPr>
        <w:spacing w:after="120"/>
      </w:pPr>
      <w:r>
        <w:t xml:space="preserve">Net to Mr Okonjo: $30,340.00.</w:t>
      </w:r>
    </w:p>
    <w:p/>
    <w:p>
      <w:pPr>
        <w:spacing w:after="120"/>
      </w:pPr>
      <w:r>
        <w:t xml:space="preserve">The itemized statement of recoveries and the itemized statement of all compensation received are attached and are the authoritative accounting. They include an entry for $150 received from Kestrel Restoration on 14 August and returned on 18 August; it appears here too, so that this report does not present a tidier picture than the statements it summarises.</w:t>
      </w:r>
    </w:p>
    <w:p/>
    <w:p>
      <w:pPr>
        <w:spacing w:after="120"/>
      </w:pPr>
      <w:r>
        <w:t xml:space="preserve">Against the carrier's opening estimate of $18,340, the settled total is $33,700. That comparison is stated without characterisation. Some of the difference is work this firm did and some of it is concealed damage that would have been found by whoever opened the wall.</w:t>
      </w:r>
    </w:p>
    <w:p/>
    <w:p>
      <w:pPr>
        <w:pStyle w:val="Heading2"/>
      </w:pPr>
      <w:r>
        <w:t xml:space="preserve">What remains open</w:t>
      </w:r>
    </w:p>
    <w:p>
      <w:pPr>
        <w:spacing w:after="120"/>
      </w:pPr>
      <w:r>
        <w:t xml:space="preserve">Two items. Both are now Mr Okonjo's to act on.</w:t>
      </w:r>
    </w:p>
    <w:p/>
    <w:p>
      <w:pPr>
        <w:spacing w:after="120"/>
      </w:pPr>
      <w:r>
        <w:t xml:space="preserve">1. RECOVERABLE DEPRECIATION — $3,120 on the original settlement and $580 on the supplement, $3,700 in total.</w:t>
      </w:r>
    </w:p>
    <w:p>
      <w:pPr>
        <w:spacing w:after="120"/>
      </w:pPr>
      <w:r>
        <w:t xml:space="preserve">Action required: submit final contractor invoices and photographs of completed work to the carrier.</w:t>
      </w:r>
    </w:p>
    <w:p>
      <w:pPr>
        <w:spacing w:after="120"/>
      </w:pPr>
      <w:r>
        <w:t xml:space="preserve">Who must act: Mr Okonjo, with Halcyon Building Services supplying the invoices.</w:t>
      </w:r>
    </w:p>
    <w:p>
      <w:pPr>
        <w:spacing w:after="120"/>
      </w:pPr>
      <w:r>
        <w:t xml:space="preserve">By when: the policy requires replacement to be completed and claimed within 180 days of the loss payment. The original payment was 26 August 2026, so the date is 22 February 2027. The supplement payment was 30 September 2026, giving 29 March 2027 for that portion. Work to the earlier date for both.</w:t>
      </w:r>
    </w:p>
    <w:p>
      <w:pPr>
        <w:spacing w:after="120"/>
      </w:pPr>
      <w:r>
        <w:t xml:space="preserve">Status at close: repairs approximately 70% complete as at 30 September. Halcyon estimates completion mid-November.</w:t>
      </w:r>
    </w:p>
    <w:p/>
    <w:p>
      <w:pPr>
        <w:spacing w:after="120"/>
      </w:pPr>
      <w:r>
        <w:t xml:space="preserve">2. CODE UPGRADE ALLOWANCE — up to $2,400 under the ordinance or law endorsement, for the electrical work in the kitchen.</w:t>
      </w:r>
    </w:p>
    <w:p>
      <w:pPr>
        <w:spacing w:after="120"/>
      </w:pPr>
      <w:r>
        <w:t xml:space="preserve">Action required: the electrician's certificate and the municipal inspection sign-off must be submitted. Neither existed at close.</w:t>
      </w:r>
    </w:p>
    <w:p>
      <w:pPr>
        <w:spacing w:after="120"/>
      </w:pPr>
      <w:r>
        <w:t xml:space="preserve">Who must act: Mr Okonjo, via Halcyon.</w:t>
      </w:r>
    </w:p>
    <w:p>
      <w:pPr>
        <w:spacing w:after="120"/>
      </w:pPr>
      <w:r>
        <w:t xml:space="preserve">By when: no separate deadline in the endorsement, so the 180-day replacement-cost date above governs in practice. Do not treat the absence of a stated deadline as an absence of urgency.</w:t>
      </w:r>
    </w:p>
    <w:p/>
    <w:p>
      <w:pPr>
        <w:spacing w:after="120"/>
      </w:pPr>
      <w:r>
        <w:t xml:space="preserve">Neither item is trivial in amount and both fail by inaction rather than by refusal. This is the section that justifies the document.</w:t>
      </w:r>
    </w:p>
    <w:p/>
    <w:p>
      <w:pPr>
        <w:pStyle w:val="Heading2"/>
      </w:pPr>
      <w:r>
        <w:t xml:space="preserve">Deadlines that survive, documents, and closing statements</w:t>
      </w:r>
    </w:p>
    <w:p>
      <w:pPr>
        <w:spacing w:after="120"/>
      </w:pPr>
      <w:r>
        <w:t xml:space="preserve">Dates, stated as dates:</w:t>
      </w:r>
    </w:p>
    <w:p/>
    <w:p>
      <w:pPr>
        <w:spacing w:after="120"/>
      </w:pPr>
      <w:r>
        <w:t xml:space="preserve">— Recoverable depreciation, original settlement: 22 February 2027. Source: policy condition 5(c), 180 days from loss payment of 26 August 2026.</w:t>
      </w:r>
    </w:p>
    <w:p>
      <w:pPr>
        <w:spacing w:after="120"/>
      </w:pPr>
      <w:r>
        <w:t xml:space="preserve">— Recoverable depreciation, supplement: 29 March 2027. Same condition, from 30 September 2026.</w:t>
      </w:r>
    </w:p>
    <w:p>
      <w:pPr>
        <w:spacing w:after="120"/>
      </w:pPr>
      <w:r>
        <w:t xml:space="preserve">— Suit limitation: 14 July 2028. Source: policy condition 9, no action unless commenced within 24 months after inception of the loss. Note that neither the appraisal demand nor the supplement extended this.</w:t>
      </w:r>
    </w:p>
    <w:p>
      <w:pPr>
        <w:spacing w:after="120"/>
      </w:pPr>
      <w:r>
        <w:t xml:space="preserve">— Further supplemental claim: no state supplemental deadline applies in this jurisdiction. The policy requires notice of additional loss as soon as practicable. Where a state deadline does apply it can be considerably shorter than the suit limitation, and it is checked against the statute rather than assumed.</w:t>
      </w:r>
    </w:p>
    <w:p/>
    <w:p>
      <w:pPr>
        <w:spacing w:after="120"/>
      </w:pPr>
      <w:r>
        <w:t xml:space="preserve">Each is a calendar date. '24 months from the loss' requires Mr Okonjo to remember the loss date correctly in 2028, and he has no reason to.</w:t>
      </w:r>
    </w:p>
    <w:p/>
    <w:p>
      <w:pPr>
        <w:spacing w:after="120"/>
      </w:pPr>
      <w:r>
        <w:t xml:space="preserve">Documents: returned to Mr Okonjo on 2 October 2026 — his original policy documents, the 2019 plumbing invoice, and the USB drive of his own photographs, against signature. Retained by this firm: the complete engagement file including the contract, correspondence, estimates, statements and photographs, held at least until 30 September 2031, five years from termination, and open to examination by the commissioner. Copies available to Mr Okonjo on request at any time during that period at no charge.</w:t>
      </w:r>
    </w:p>
    <w:p/>
    <w:p>
      <w:pPr>
        <w:spacing w:after="120"/>
      </w:pPr>
      <w:r>
        <w:t xml:space="preserve">Closing statements: the representation ended 30 September 2026 and the carrier was notified in writing the same day, asking that all further correspondence go directly to Mr Okonjo. He should expect to hear from the carrier directly on the depreciation claim and should not wait for us to forward anything.</w:t>
      </w:r>
    </w:p>
    <w:p/>
    <w:p>
      <w:pPr>
        <w:spacing w:after="120"/>
      </w:pPr>
      <w:r>
        <w:t xml:space="preserve">The fee position is final. No further fee is or will be charged on this claim, including on the recoverable depreciation and the code upgrade allowance above — those are recoveries under the settled claim rather than new recoveries, and no fee applies to them under the contract. Stated explicitly so that a payment arriving in February does not produce an unexpected invoice.</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claims.professionaldrafter.com/public-adjuster/pa-closing-report/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Public Adjuster Closing Report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Adjuster Closing Report Template &amp; Example</dc:title>
  <dc:creator>Adjuster Report Library</dc:creator>
  <dc:description>The closing report to the insured: what was recovered, what it cost, what remains open, and what they must do after the file closes. Template, worked example, free Word download.</dc:description>
  <cp:lastModifiedBy>Un-named</cp:lastModifiedBy>
  <cp:revision>1</cp:revision>
  <dcterms:created xsi:type="dcterms:W3CDTF">2026-10-13T13:35:09.338Z</dcterms:created>
  <dcterms:modified xsi:type="dcterms:W3CDTF">2026-10-13T13:35:09.338Z</dcterms:modified>
</cp:coreProperties>
</file>

<file path=docProps/custom.xml><?xml version="1.0" encoding="utf-8"?>
<Properties xmlns="http://schemas.openxmlformats.org/officeDocument/2006/custom-properties" xmlns:vt="http://schemas.openxmlformats.org/officeDocument/2006/docPropsVTypes"/>
</file>