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Public Adjuster Estimate Reconciliation</w:t>
      </w:r>
    </w:p>
    <w:p>
      <w:pPr>
        <w:spacing w:after="120"/>
      </w:pPr>
      <w:r>
        <w:rPr>
          <w:i/>
          <w:iCs/>
          <w:sz w:val="20"/>
          <w:szCs w:val="20"/>
        </w:rPr>
        <w:t xml:space="preserve">Fillable template. Everything highlighted in yellow is yours to replace — 19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claims.professionaldrafter.com/public-adjuster/pa-scope-and-estimate/</w:t>
      </w:r>
    </w:p>
    <w:p/>
    <w:p>
      <w:pPr>
        <w:pStyle w:val="Heading2"/>
      </w:pPr>
      <w:r>
        <w:t xml:space="preserve">Basis and documents relied on</w:t>
      </w:r>
    </w:p>
    <w:p>
      <w:pPr>
        <w:spacing w:after="120"/>
      </w:pPr>
      <w:r>
        <w:rPr>
          <w:i/>
          <w:iCs/>
          <w:sz w:val="18"/>
          <w:szCs w:val="18"/>
        </w:rPr>
        <w:t xml:space="preserve">State which version of the carrier's estimate is being reconciled — by date and revision — and what the insured's estimate is built from: measurements taken on site and by whom, the price list and its date, and any specialist report. A reconciliation against a superseded estimate is wasted work, and it is the first thing a carrier will point out.</w:t>
      </w:r>
    </w:p>
    <w:p>
      <w:pPr>
        <w:spacing w:after="120"/>
      </w:pPr>
      <w:r>
        <w:t xml:space="preserve">Carrier estimate reconciled: </w:t>
      </w:r>
      <w:r>
        <w:rPr>
          <w:highlight w:val="yellow"/>
          <w:highlightCs w:val="yellow"/>
        </w:rPr>
        <w:t xml:space="preserve">[Date and revision — confirm it is current]</w:t>
      </w:r>
    </w:p>
    <w:p>
      <w:pPr>
        <w:spacing w:after="120"/>
      </w:pPr>
      <w:r>
        <w:t xml:space="preserve">Insured's estimate date: </w:t>
      </w:r>
      <w:r>
        <w:rPr>
          <w:highlight w:val="yellow"/>
          <w:highlightCs w:val="yellow"/>
        </w:rPr>
        <w:t xml:space="preserve">[ ______________________ ]</w:t>
      </w:r>
    </w:p>
    <w:p>
      <w:pPr>
        <w:spacing w:after="120"/>
      </w:pPr>
      <w:r>
        <w:t xml:space="preserve">Price list and effective date: </w:t>
      </w:r>
      <w:r>
        <w:rPr>
          <w:highlight w:val="yellow"/>
          <w:highlightCs w:val="yellow"/>
        </w:rPr>
        <w:t xml:space="preserve">[ ______________________ ]</w:t>
      </w:r>
    </w:p>
    <w:p>
      <w:pPr>
        <w:spacing w:after="120"/>
      </w:pPr>
      <w:r>
        <w:t xml:space="preserve">Measured on site by / date: </w:t>
      </w:r>
      <w:r>
        <w:rPr>
          <w:highlight w:val="yellow"/>
          <w:highlightCs w:val="yellow"/>
        </w:rPr>
        <w:t xml:space="preserve">[ ______________________ ]</w:t>
      </w:r>
    </w:p>
    <w:p>
      <w:pPr>
        <w:spacing w:after="120"/>
      </w:pPr>
      <w:r>
        <w:rPr>
          <w:highlight w:val="yellow"/>
          <w:highlightCs w:val="yellow"/>
        </w:rPr>
        <w:t xml:space="preserve">[Carrier estimate date and revision; insured's estimate basis; price list and date; measurements and who took them; specialist reports]</w:t>
      </w:r>
    </w:p>
    <w:p/>
    <w:p>
      <w:pPr>
        <w:pStyle w:val="Heading2"/>
      </w:pPr>
      <w:r>
        <w:t xml:space="preserve">Summary of the difference</w:t>
      </w:r>
    </w:p>
    <w:p>
      <w:pPr>
        <w:spacing w:after="120"/>
      </w:pPr>
      <w:r>
        <w:rPr>
          <w:i/>
          <w:iCs/>
          <w:sz w:val="18"/>
          <w:szCs w:val="18"/>
        </w:rPr>
        <w:t xml:space="preserve">One table at the top: carrier total, insured total, difference, and the difference split into its causes — scope items omitted, quantity differences, unit price differences, and items where the two agree on scope but disagree on method. A reader who sees that most of the gap is three lines treats the file differently from one who sees an unexplained lump sum.</w:t>
      </w:r>
    </w:p>
    <w:p>
      <w:pPr>
        <w:spacing w:after="120"/>
      </w:pPr>
      <w:r>
        <w:rPr>
          <w:highlight w:val="yellow"/>
          <w:highlightCs w:val="yellow"/>
        </w:rPr>
        <w:t xml:space="preserve">[Totals and the difference, split by cause]</w:t>
      </w:r>
    </w:p>
    <w:p>
      <w:pPr>
        <w:pStyle w:val="ListParagraph"/>
        <w:numPr>
          <w:ilvl w:val="0"/>
          <w:numId w:val="1"/>
        </w:numPr>
        <w:spacing w:after="80"/>
      </w:pPr>
      <w:r>
        <w:rPr>
          <w:highlight w:val="yellow"/>
          <w:highlightCs w:val="yellow"/>
        </w:rPr>
        <w:t xml:space="preserve">[Cause | Lines affected | Amount]</w:t>
      </w:r>
    </w:p>
    <w:p>
      <w:pPr>
        <w:pStyle w:val="ListParagraph"/>
        <w:numPr>
          <w:ilvl w:val="0"/>
          <w:numId w:val="1"/>
        </w:numPr>
        <w:spacing w:after="80"/>
      </w:pPr>
      <w:r>
        <w:rPr>
          <w:highlight w:val="yellow"/>
          <w:highlightCs w:val="yellow"/>
        </w:rPr>
        <w:t xml:space="preserve">[Scope omitted | | ]</w:t>
      </w:r>
    </w:p>
    <w:p>
      <w:pPr>
        <w:pStyle w:val="ListParagraph"/>
        <w:numPr>
          <w:ilvl w:val="0"/>
          <w:numId w:val="1"/>
        </w:numPr>
        <w:spacing w:after="80"/>
      </w:pPr>
      <w:r>
        <w:rPr>
          <w:highlight w:val="yellow"/>
          <w:highlightCs w:val="yellow"/>
        </w:rPr>
        <w:t xml:space="preserve">[Quantity difference | | ]</w:t>
      </w:r>
    </w:p>
    <w:p>
      <w:pPr>
        <w:pStyle w:val="ListParagraph"/>
        <w:numPr>
          <w:ilvl w:val="0"/>
          <w:numId w:val="1"/>
        </w:numPr>
        <w:spacing w:after="80"/>
      </w:pPr>
      <w:r>
        <w:rPr>
          <w:highlight w:val="yellow"/>
          <w:highlightCs w:val="yellow"/>
        </w:rPr>
        <w:t xml:space="preserve">[Unit price difference | | ]</w:t>
      </w:r>
    </w:p>
    <w:p>
      <w:pPr>
        <w:pStyle w:val="ListParagraph"/>
        <w:numPr>
          <w:ilvl w:val="0"/>
          <w:numId w:val="1"/>
        </w:numPr>
        <w:spacing w:after="80"/>
      </w:pPr>
      <w:r>
        <w:rPr>
          <w:highlight w:val="yellow"/>
          <w:highlightCs w:val="yellow"/>
        </w:rPr>
        <w:t xml:space="preserve">[Method or specification difference | | ]</w:t>
      </w:r>
    </w:p>
    <w:p/>
    <w:p>
      <w:pPr>
        <w:pStyle w:val="Heading2"/>
      </w:pPr>
      <w:r>
        <w:t xml:space="preserve">Line-by-line reconciliation</w:t>
      </w:r>
    </w:p>
    <w:p>
      <w:pPr>
        <w:spacing w:after="120"/>
      </w:pPr>
      <w:r>
        <w:rPr>
          <w:i/>
          <w:iCs/>
          <w:sz w:val="18"/>
          <w:szCs w:val="18"/>
        </w:rPr>
        <w:t xml:space="preserve">One row per disputed line, carrying the carrier's line reference so it can be found in their own file. Give the carrier's quantity and price, the insured's, the difference, and the reason in a few words. Keep agreed lines out — a reconciliation that reproduces the whole estimate buries the twenty lines that matter among two hundred that do not.</w:t>
      </w:r>
    </w:p>
    <w:p>
      <w:pPr>
        <w:spacing w:after="120"/>
      </w:pPr>
      <w:r>
        <w:rPr>
          <w:highlight w:val="yellow"/>
          <w:highlightCs w:val="yellow"/>
        </w:rPr>
        <w:t xml:space="preserve">[Per line: carrier ref, description, carrier qty/price, insured qty/price, difference, reason]</w:t>
      </w:r>
    </w:p>
    <w:p>
      <w:pPr>
        <w:pStyle w:val="ListParagraph"/>
        <w:numPr>
          <w:ilvl w:val="0"/>
          <w:numId w:val="1"/>
        </w:numPr>
        <w:spacing w:after="80"/>
      </w:pPr>
      <w:r>
        <w:rPr>
          <w:highlight w:val="yellow"/>
          <w:highlightCs w:val="yellow"/>
        </w:rPr>
        <w:t xml:space="preserve">[Ref | Description | Carrier qty × price | Insured qty × price | Difference | Reason]</w:t>
      </w:r>
    </w:p>
    <w:p/>
    <w:p>
      <w:pPr>
        <w:pStyle w:val="Heading2"/>
      </w:pPr>
      <w:r>
        <w:t xml:space="preserve">Evidence for each contested line</w:t>
      </w:r>
    </w:p>
    <w:p>
      <w:pPr>
        <w:spacing w:after="120"/>
      </w:pPr>
      <w:r>
        <w:rPr>
          <w:i/>
          <w:iCs/>
          <w:sz w:val="18"/>
          <w:szCs w:val="18"/>
        </w:rPr>
        <w:t xml:space="preserve">Each difference needs its own support, and the support has to be specific to the line rather than to the claim. A photograph showing the affected area, a measurement, a moisture reading, a manufacturer specification requiring a particular method, a code provision. A line supported by 'industry standard' is a line that will be declined, because there is nothing there to check.</w:t>
      </w:r>
    </w:p>
    <w:p>
      <w:pPr>
        <w:spacing w:after="120"/>
      </w:pPr>
      <w:r>
        <w:t xml:space="preserve">Line reference: </w:t>
      </w:r>
      <w:r>
        <w:rPr>
          <w:highlight w:val="yellow"/>
          <w:highlightCs w:val="yellow"/>
        </w:rPr>
        <w:t xml:space="preserve">[ ______________________ ]</w:t>
      </w:r>
    </w:p>
    <w:p>
      <w:pPr>
        <w:spacing w:after="120"/>
      </w:pPr>
      <w:r>
        <w:t xml:space="preserve">Evidence type: </w:t>
      </w:r>
      <w:r>
        <w:rPr>
          <w:highlight w:val="yellow"/>
          <w:highlightCs w:val="yellow"/>
        </w:rPr>
        <w:t xml:space="preserve">[Photo / measurement / reading / specification / code provision]</w:t>
      </w:r>
    </w:p>
    <w:p>
      <w:pPr>
        <w:spacing w:after="120"/>
      </w:pPr>
      <w:r>
        <w:t xml:space="preserve">Locator: </w:t>
      </w:r>
      <w:r>
        <w:rPr>
          <w:highlight w:val="yellow"/>
          <w:highlightCs w:val="yellow"/>
        </w:rPr>
        <w:t xml:space="preserve">[Photo number, report page, code section]</w:t>
      </w:r>
    </w:p>
    <w:p>
      <w:pPr>
        <w:spacing w:after="120"/>
      </w:pPr>
      <w:r>
        <w:rPr>
          <w:highlight w:val="yellow"/>
          <w:highlightCs w:val="yellow"/>
        </w:rPr>
        <w:t xml:space="preserve">[Per contested line: the evidence relied on, identified so the reader can locate it]</w:t>
      </w:r>
    </w:p>
    <w:p/>
    <w:p>
      <w:pPr>
        <w:pStyle w:val="Heading2"/>
      </w:pPr>
      <w:r>
        <w:t xml:space="preserve">Items not in dispute</w:t>
      </w:r>
    </w:p>
    <w:p>
      <w:pPr>
        <w:spacing w:after="120"/>
      </w:pPr>
      <w:r>
        <w:rPr>
          <w:i/>
          <w:iCs/>
          <w:sz w:val="18"/>
          <w:szCs w:val="18"/>
        </w:rPr>
        <w:t xml:space="preserve">Say what is agreed, and say it early. It shortens the argument, it demonstrates that the reconciliation is an analysis rather than a reflex, and it prevents the reply that the insured disputes everything. Where the insured's estimate is lower than the carrier's on a line, say that too — it happens, and disclosing it buys more credibility than it costs.</w:t>
      </w:r>
    </w:p>
    <w:p>
      <w:pPr>
        <w:spacing w:after="120"/>
      </w:pPr>
      <w:r>
        <w:rPr>
          <w:highlight w:val="yellow"/>
          <w:highlightCs w:val="yellow"/>
        </w:rPr>
        <w:t xml:space="preserve">[Lines agreed; any line where the insured's figure is lower than the carrier's]</w:t>
      </w:r>
    </w:p>
    <w:p/>
    <w:p>
      <w:pPr>
        <w:pStyle w:val="Heading2"/>
      </w:pPr>
      <w:r>
        <w:t xml:space="preserve">What is requested, and by when</w:t>
      </w:r>
    </w:p>
    <w:p>
      <w:pPr>
        <w:spacing w:after="120"/>
      </w:pPr>
      <w:r>
        <w:rPr>
          <w:i/>
          <w:iCs/>
          <w:sz w:val="18"/>
          <w:szCs w:val="18"/>
        </w:rPr>
        <w:t xml:space="preserve">Close with the specific ask: a revised estimate, a re-inspection of named areas, or a written position on each contested line. Give a date, and say what happens next if it passes — usually a supplement or an appraisal demand. A reconciliation that ends without a request is a document the recipient can file.</w:t>
      </w:r>
    </w:p>
    <w:p>
      <w:pPr>
        <w:spacing w:after="120"/>
      </w:pPr>
      <w:r>
        <w:rPr>
          <w:highlight w:val="yellow"/>
          <w:highlightCs w:val="yellow"/>
        </w:rPr>
        <w:t xml:space="preserve">[What is requested; the date; what follows if no response]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reconciliation of the Harbour Lane water loss, claim PC-2026-11482. Carrier estimate $18,340 dated 31 July 2026; insured's estimate $29,880. The $11,540 gap turns out to sit almost entirely in three lines, and one line goes the carrier's way.</w:t>
      </w:r>
    </w:p>
    <w:p/>
    <w:p>
      <w:pPr>
        <w:pStyle w:val="Heading2"/>
      </w:pPr>
      <w:r>
        <w:t xml:space="preserve">Basis and documents relied on</w:t>
      </w:r>
    </w:p>
    <w:p>
      <w:pPr>
        <w:spacing w:after="120"/>
      </w:pPr>
      <w:r>
        <w:t xml:space="preserve">Carrier estimate reconciled: [Carrier] estimate dated 31 July 2026, revision 1, received 31 July 2026. Confirmed with R. Calloway on 12 August 2026 that revision 1 is current and no revision 2 exists.</w:t>
      </w:r>
    </w:p>
    <w:p/>
    <w:p>
      <w:pPr>
        <w:spacing w:after="120"/>
      </w:pPr>
      <w:r>
        <w:t xml:space="preserve">That confirmation took one phone call and is recorded because reconciling a superseded estimate is the most avoidable way to lose a fortnight.</w:t>
      </w:r>
    </w:p>
    <w:p/>
    <w:p>
      <w:pPr>
        <w:spacing w:after="120"/>
      </w:pPr>
      <w:r>
        <w:t xml:space="preserve">Insured's estimate: prepared 19 August 2026 by Merrow Loss Consulting from measurements taken on site 13 August 2026 by T. Halvorsen. Price list: [regional list] effective July 2026, the same month as the carrier's.</w:t>
      </w:r>
    </w:p>
    <w:p/>
    <w:p>
      <w:pPr>
        <w:spacing w:after="120"/>
      </w:pPr>
      <w:r>
        <w:t xml:space="preserve">Specialist evidence: moisture mapping report by Kestrel Restoration dated 16 July 2026, commissioned by the insured before this firm was engaged, with readings at 14 points across the ground floor.</w:t>
      </w:r>
    </w:p>
    <w:p/>
    <w:p>
      <w:pPr>
        <w:pStyle w:val="Heading2"/>
      </w:pPr>
      <w:r>
        <w:t xml:space="preserve">Summary of the difference</w:t>
      </w:r>
    </w:p>
    <w:p>
      <w:pPr>
        <w:spacing w:after="120"/>
      </w:pPr>
      <w:r>
        <w:t xml:space="preserve">Carrier total: $18,340.00</w:t>
      </w:r>
    </w:p>
    <w:p>
      <w:pPr>
        <w:spacing w:after="120"/>
      </w:pPr>
      <w:r>
        <w:t xml:space="preserve">Insured total: $29,880.00</w:t>
      </w:r>
    </w:p>
    <w:p>
      <w:pPr>
        <w:spacing w:after="120"/>
      </w:pPr>
      <w:r>
        <w:t xml:space="preserve">Difference: $11,540.00</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Cause</w:t>
            </w:r>
          </w:p>
        </w:tc>
        <w:tc>
          <w:tcPr>
            <w:tcMar>
              <w:top w:type="dxa" w:w="60"/>
              <w:left w:type="dxa" w:w="100"/>
              <w:bottom w:type="dxa" w:w="60"/>
              <w:right w:type="dxa" w:w="100"/>
            </w:tcMar>
          </w:tcPr>
          <w:p>
            <w:pPr>
              <w:spacing w:after="0"/>
            </w:pPr>
            <w:r>
              <w:rPr>
                <w:sz w:val="19"/>
                <w:szCs w:val="19"/>
              </w:rPr>
              <w:t xml:space="preserve">Lines affected</w:t>
            </w:r>
          </w:p>
        </w:tc>
        <w:tc>
          <w:tcPr>
            <w:tcMar>
              <w:top w:type="dxa" w:w="60"/>
              <w:left w:type="dxa" w:w="100"/>
              <w:bottom w:type="dxa" w:w="60"/>
              <w:right w:type="dxa" w:w="100"/>
            </w:tcMar>
          </w:tcPr>
          <w:p>
            <w:pPr>
              <w:spacing w:after="0"/>
            </w:pPr>
            <w:r>
              <w:rPr>
                <w:sz w:val="19"/>
                <w:szCs w:val="19"/>
              </w:rPr>
              <w:t xml:space="preserve">Amount</w:t>
            </w:r>
          </w:p>
        </w:tc>
      </w:tr>
      <w:tr>
        <w:trPr>
          <w:tblHeader w:val="false"/>
        </w:trPr>
        <w:tc>
          <w:tcPr>
            <w:tcMar>
              <w:top w:type="dxa" w:w="60"/>
              <w:left w:type="dxa" w:w="100"/>
              <w:bottom w:type="dxa" w:w="60"/>
              <w:right w:type="dxa" w:w="100"/>
            </w:tcMar>
          </w:tcPr>
          <w:p>
            <w:pPr>
              <w:spacing w:after="0"/>
            </w:pPr>
            <w:r>
              <w:rPr>
                <w:sz w:val="19"/>
                <w:szCs w:val="19"/>
              </w:rPr>
              <w:t xml:space="preserve">Scope omitted</w:t>
            </w:r>
          </w:p>
        </w:tc>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$9,180.00</w:t>
            </w:r>
          </w:p>
        </w:tc>
      </w:tr>
      <w:tr>
        <w:trPr>
          <w:tblHeader w:val="false"/>
        </w:trPr>
        <w:tc>
          <w:tcPr>
            <w:tcMar>
              <w:top w:type="dxa" w:w="60"/>
              <w:left w:type="dxa" w:w="100"/>
              <w:bottom w:type="dxa" w:w="60"/>
              <w:right w:type="dxa" w:w="100"/>
            </w:tcMar>
          </w:tcPr>
          <w:p>
            <w:pPr>
              <w:spacing w:after="0"/>
            </w:pPr>
            <w:r>
              <w:rPr>
                <w:sz w:val="19"/>
                <w:szCs w:val="19"/>
              </w:rPr>
              <w:t xml:space="preserve">Quantity difference</w:t>
            </w:r>
          </w:p>
        </w:tc>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$1,940.00</w:t>
            </w:r>
          </w:p>
        </w:tc>
      </w:tr>
      <w:tr>
        <w:trPr>
          <w:tblHeader w:val="false"/>
        </w:trPr>
        <w:tc>
          <w:tcPr>
            <w:tcMar>
              <w:top w:type="dxa" w:w="60"/>
              <w:left w:type="dxa" w:w="100"/>
              <w:bottom w:type="dxa" w:w="60"/>
              <w:right w:type="dxa" w:w="100"/>
            </w:tcMar>
          </w:tcPr>
          <w:p>
            <w:pPr>
              <w:spacing w:after="0"/>
            </w:pPr>
            <w:r>
              <w:rPr>
                <w:sz w:val="19"/>
                <w:szCs w:val="19"/>
              </w:rPr>
              <w:t xml:space="preserve">Unit price difference</w:t>
            </w:r>
          </w:p>
        </w:tc>
        <w:tc>
          <w:tcPr>
            <w:tcMar>
              <w:top w:type="dxa" w:w="60"/>
              <w:left w:type="dxa" w:w="100"/>
              <w:bottom w:type="dxa" w:w="60"/>
              <w:right w:type="dxa" w:w="100"/>
            </w:tcMar>
          </w:tcPr>
          <w:p>
            <w:pPr>
              <w:spacing w:after="0"/>
            </w:pPr>
            <w:r>
              <w:rPr>
                <w:sz w:val="19"/>
                <w:szCs w:val="19"/>
              </w:rPr>
              <w:t xml:space="preserve">6</w:t>
            </w:r>
          </w:p>
        </w:tc>
        <w:tc>
          <w:tcPr>
            <w:tcMar>
              <w:top w:type="dxa" w:w="60"/>
              <w:left w:type="dxa" w:w="100"/>
              <w:bottom w:type="dxa" w:w="60"/>
              <w:right w:type="dxa" w:w="100"/>
            </w:tcMar>
          </w:tcPr>
          <w:p>
            <w:pPr>
              <w:spacing w:after="0"/>
            </w:pPr>
            <w:r>
              <w:rPr>
                <w:sz w:val="19"/>
                <w:szCs w:val="19"/>
              </w:rPr>
              <w:t xml:space="preserve">$610.00</w:t>
            </w:r>
          </w:p>
        </w:tc>
      </w:tr>
      <w:tr>
        <w:trPr>
          <w:tblHeader w:val="false"/>
        </w:trPr>
        <w:tc>
          <w:tcPr>
            <w:tcMar>
              <w:top w:type="dxa" w:w="60"/>
              <w:left w:type="dxa" w:w="100"/>
              <w:bottom w:type="dxa" w:w="60"/>
              <w:right w:type="dxa" w:w="100"/>
            </w:tcMar>
          </w:tcPr>
          <w:p>
            <w:pPr>
              <w:spacing w:after="0"/>
            </w:pPr>
            <w:r>
              <w:rPr>
                <w:sz w:val="19"/>
                <w:szCs w:val="19"/>
              </w:rPr>
              <w:t xml:space="preserve">Method or specification difference</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$310.00</w:t>
            </w:r>
          </w:p>
        </w:tc>
      </w:tr>
      <w:tr>
        <w:trPr>
          <w:tblHeader w:val="false"/>
        </w:trPr>
        <w:tc>
          <w:tcPr>
            <w:tcMar>
              <w:top w:type="dxa" w:w="60"/>
              <w:left w:type="dxa" w:w="100"/>
              <w:bottom w:type="dxa" w:w="60"/>
              <w:right w:type="dxa" w:w="100"/>
            </w:tcMar>
          </w:tcPr>
          <w:p>
            <w:pPr>
              <w:spacing w:after="0"/>
            </w:pPr>
            <w:r>
              <w:rPr>
                <w:sz w:val="19"/>
                <w:szCs w:val="19"/>
              </w:rPr>
              <w:t xml:space="preserve">Insured's figure LOWER than carrier's</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($500.00)</w:t>
            </w:r>
          </w:p>
        </w:tc>
      </w:tr>
    </w:tbl>
    <w:p/>
    <w:p>
      <w:pPr>
        <w:spacing w:after="120"/>
      </w:pPr>
      <w:r>
        <w:t xml:space="preserve">Eighty percent of the gap is three omitted scope lines. That is the sentence this table exists to produce. A carrier reading 'the estimate is $11,540 short' has to defend an entire document; a carrier reading 'three lines account for $9,180' has to decide about three lines, and two of them are not seriously arguable.</w:t>
      </w:r>
    </w:p>
    <w:p/>
    <w:p>
      <w:pPr>
        <w:pStyle w:val="Heading2"/>
      </w:pPr>
      <w:r>
        <w:t xml:space="preserve">Line-by-line reconciliation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Ref</w:t>
            </w:r>
          </w:p>
        </w:tc>
        <w:tc>
          <w:tcPr>
            <w:tcMar>
              <w:top w:type="dxa" w:w="60"/>
              <w:left w:type="dxa" w:w="100"/>
              <w:bottom w:type="dxa" w:w="60"/>
              <w:right w:type="dxa" w:w="100"/>
            </w:tcMar>
          </w:tcPr>
          <w:p>
            <w:pPr>
              <w:spacing w:after="0"/>
            </w:pPr>
            <w:r>
              <w:rPr>
                <w:sz w:val="19"/>
                <w:szCs w:val="19"/>
              </w:rPr>
              <w:t xml:space="preserve">Description</w:t>
            </w:r>
          </w:p>
        </w:tc>
        <w:tc>
          <w:tcPr>
            <w:tcMar>
              <w:top w:type="dxa" w:w="60"/>
              <w:left w:type="dxa" w:w="100"/>
              <w:bottom w:type="dxa" w:w="60"/>
              <w:right w:type="dxa" w:w="100"/>
            </w:tcMar>
          </w:tcPr>
          <w:p>
            <w:pPr>
              <w:spacing w:after="0"/>
            </w:pPr>
            <w:r>
              <w:rPr>
                <w:sz w:val="19"/>
                <w:szCs w:val="19"/>
              </w:rPr>
              <w:t xml:space="preserve">Carrier</w:t>
            </w:r>
          </w:p>
        </w:tc>
        <w:tc>
          <w:tcPr>
            <w:tcMar>
              <w:top w:type="dxa" w:w="60"/>
              <w:left w:type="dxa" w:w="100"/>
              <w:bottom w:type="dxa" w:w="60"/>
              <w:right w:type="dxa" w:w="100"/>
            </w:tcMar>
          </w:tcPr>
          <w:p>
            <w:pPr>
              <w:spacing w:after="0"/>
            </w:pPr>
            <w:r>
              <w:rPr>
                <w:sz w:val="19"/>
                <w:szCs w:val="19"/>
              </w:rPr>
              <w:t xml:space="preserve">Insured</w:t>
            </w:r>
          </w:p>
        </w:tc>
        <w:tc>
          <w:tcPr>
            <w:tcMar>
              <w:top w:type="dxa" w:w="60"/>
              <w:left w:type="dxa" w:w="100"/>
              <w:bottom w:type="dxa" w:w="60"/>
              <w:right w:type="dxa" w:w="100"/>
            </w:tcMar>
          </w:tcPr>
          <w:p>
            <w:pPr>
              <w:spacing w:after="0"/>
            </w:pPr>
            <w:r>
              <w:rPr>
                <w:sz w:val="19"/>
                <w:szCs w:val="19"/>
              </w:rPr>
              <w:t xml:space="preserve">Difference</w:t>
            </w:r>
          </w:p>
        </w:tc>
        <w:tc>
          <w:tcPr>
            <w:tcMar>
              <w:top w:type="dxa" w:w="60"/>
              <w:left w:type="dxa" w:w="100"/>
              <w:bottom w:type="dxa" w:w="60"/>
              <w:right w:type="dxa" w:w="100"/>
            </w:tcMar>
          </w:tcPr>
          <w:p>
            <w:pPr>
              <w:spacing w:after="0"/>
            </w:pPr>
            <w:r>
              <w:rPr>
                <w:sz w:val="19"/>
                <w:szCs w:val="19"/>
              </w:rPr>
              <w:t xml:space="preserve">Reason</w:t>
            </w:r>
          </w:p>
        </w:tc>
      </w:tr>
      <w:tr>
        <w:trPr>
          <w:tblHeader w:val="false"/>
        </w:trPr>
        <w:tc>
          <w:tcPr>
            <w:tcMar>
              <w:top w:type="dxa" w:w="60"/>
              <w:left w:type="dxa" w:w="100"/>
              <w:bottom w:type="dxa" w:w="60"/>
              <w:right w:type="dxa" w:w="100"/>
            </w:tcMar>
          </w:tcPr>
          <w:p>
            <w:pPr>
              <w:spacing w:after="0"/>
            </w:pPr>
            <w:r>
              <w:rPr>
                <w:sz w:val="19"/>
                <w:szCs w:val="19"/>
              </w:rPr>
              <w:t xml:space="preserve">7</w:t>
            </w:r>
          </w:p>
        </w:tc>
        <w:tc>
          <w:tcPr>
            <w:tcMar>
              <w:top w:type="dxa" w:w="60"/>
              <w:left w:type="dxa" w:w="100"/>
              <w:bottom w:type="dxa" w:w="60"/>
              <w:right w:type="dxa" w:w="100"/>
            </w:tcMar>
          </w:tcPr>
          <w:p>
            <w:pPr>
              <w:spacing w:after="0"/>
            </w:pPr>
            <w:r>
              <w:rPr>
                <w:sz w:val="19"/>
                <w:szCs w:val="19"/>
              </w:rPr>
              <w:t xml:space="preserve">Remove and replace subfloor, kitchen</w:t>
            </w:r>
          </w:p>
        </w:tc>
        <w:tc>
          <w:tcPr>
            <w:tcMar>
              <w:top w:type="dxa" w:w="60"/>
              <w:left w:type="dxa" w:w="100"/>
              <w:bottom w:type="dxa" w:w="60"/>
              <w:right w:type="dxa" w:w="100"/>
            </w:tcMar>
          </w:tcPr>
          <w:p>
            <w:pPr>
              <w:spacing w:after="0"/>
            </w:pPr>
            <w:r>
              <w:rPr>
                <w:sz w:val="19"/>
                <w:szCs w:val="19"/>
              </w:rPr>
              <w:t xml:space="preserve">not included</w:t>
            </w:r>
          </w:p>
        </w:tc>
        <w:tc>
          <w:tcPr>
            <w:tcMar>
              <w:top w:type="dxa" w:w="60"/>
              <w:left w:type="dxa" w:w="100"/>
              <w:bottom w:type="dxa" w:w="60"/>
              <w:right w:type="dxa" w:w="100"/>
            </w:tcMar>
          </w:tcPr>
          <w:p>
            <w:pPr>
              <w:spacing w:after="0"/>
            </w:pPr>
            <w:r>
              <w:rPr>
                <w:sz w:val="19"/>
                <w:szCs w:val="19"/>
              </w:rPr>
              <w:t xml:space="preserve">96 SF @ $14.20 = $1,363</w:t>
            </w:r>
          </w:p>
        </w:tc>
        <w:tc>
          <w:tcPr>
            <w:tcMar>
              <w:top w:type="dxa" w:w="60"/>
              <w:left w:type="dxa" w:w="100"/>
              <w:bottom w:type="dxa" w:w="60"/>
              <w:right w:type="dxa" w:w="100"/>
            </w:tcMar>
          </w:tcPr>
          <w:p>
            <w:pPr>
              <w:spacing w:after="0"/>
            </w:pPr>
            <w:r>
              <w:rPr>
                <w:sz w:val="19"/>
                <w:szCs w:val="19"/>
              </w:rPr>
              <w:t xml:space="preserve">+$1,363</w:t>
            </w:r>
          </w:p>
        </w:tc>
        <w:tc>
          <w:tcPr>
            <w:tcMar>
              <w:top w:type="dxa" w:w="60"/>
              <w:left w:type="dxa" w:w="100"/>
              <w:bottom w:type="dxa" w:w="60"/>
              <w:right w:type="dxa" w:w="100"/>
            </w:tcMar>
          </w:tcPr>
          <w:p>
            <w:pPr>
              <w:spacing w:after="0"/>
            </w:pPr>
            <w:r>
              <w:rPr>
                <w:sz w:val="19"/>
                <w:szCs w:val="19"/>
              </w:rPr>
              <w:t xml:space="preserve">Scope omitted — subfloor moisture 24% at 3 points</w:t>
            </w:r>
          </w:p>
        </w:tc>
      </w:tr>
      <w:tr>
        <w:trPr>
          <w:tblHeader w:val="false"/>
        </w:trPr>
        <w:tc>
          <w:tcPr>
            <w:tcMar>
              <w:top w:type="dxa" w:w="60"/>
              <w:left w:type="dxa" w:w="100"/>
              <w:bottom w:type="dxa" w:w="60"/>
              <w:right w:type="dxa" w:w="100"/>
            </w:tcMar>
          </w:tcPr>
          <w:p>
            <w:pPr>
              <w:spacing w:after="0"/>
            </w:pPr>
            <w:r>
              <w:rPr>
                <w:sz w:val="19"/>
                <w:szCs w:val="19"/>
              </w:rPr>
              <w:t xml:space="preserve">11</w:t>
            </w:r>
          </w:p>
        </w:tc>
        <w:tc>
          <w:tcPr>
            <w:tcMar>
              <w:top w:type="dxa" w:w="60"/>
              <w:left w:type="dxa" w:w="100"/>
              <w:bottom w:type="dxa" w:w="60"/>
              <w:right w:type="dxa" w:w="100"/>
            </w:tcMar>
          </w:tcPr>
          <w:p>
            <w:pPr>
              <w:spacing w:after="0"/>
            </w:pPr>
            <w:r>
              <w:rPr>
                <w:sz w:val="19"/>
                <w:szCs w:val="19"/>
              </w:rPr>
              <w:t xml:space="preserve">Remove and replace lower cabinetry, kitchen</w:t>
            </w:r>
          </w:p>
        </w:tc>
        <w:tc>
          <w:tcPr>
            <w:tcMar>
              <w:top w:type="dxa" w:w="60"/>
              <w:left w:type="dxa" w:w="100"/>
              <w:bottom w:type="dxa" w:w="60"/>
              <w:right w:type="dxa" w:w="100"/>
            </w:tcMar>
          </w:tcPr>
          <w:p>
            <w:pPr>
              <w:spacing w:after="0"/>
            </w:pPr>
            <w:r>
              <w:rPr>
                <w:sz w:val="19"/>
                <w:szCs w:val="19"/>
              </w:rPr>
              <w:t xml:space="preserve">not included</w:t>
            </w:r>
          </w:p>
        </w:tc>
        <w:tc>
          <w:tcPr>
            <w:tcMar>
              <w:top w:type="dxa" w:w="60"/>
              <w:left w:type="dxa" w:w="100"/>
              <w:bottom w:type="dxa" w:w="60"/>
              <w:right w:type="dxa" w:w="100"/>
            </w:tcMar>
          </w:tcPr>
          <w:p>
            <w:pPr>
              <w:spacing w:after="0"/>
            </w:pPr>
            <w:r>
              <w:rPr>
                <w:sz w:val="19"/>
                <w:szCs w:val="19"/>
              </w:rPr>
              <w:t xml:space="preserve">14 LF @ $412 = $5,768</w:t>
            </w:r>
          </w:p>
        </w:tc>
        <w:tc>
          <w:tcPr>
            <w:tcMar>
              <w:top w:type="dxa" w:w="60"/>
              <w:left w:type="dxa" w:w="100"/>
              <w:bottom w:type="dxa" w:w="60"/>
              <w:right w:type="dxa" w:w="100"/>
            </w:tcMar>
          </w:tcPr>
          <w:p>
            <w:pPr>
              <w:spacing w:after="0"/>
            </w:pPr>
            <w:r>
              <w:rPr>
                <w:sz w:val="19"/>
                <w:szCs w:val="19"/>
              </w:rPr>
              <w:t xml:space="preserve">+$5,768</w:t>
            </w:r>
          </w:p>
        </w:tc>
        <w:tc>
          <w:tcPr>
            <w:tcMar>
              <w:top w:type="dxa" w:w="60"/>
              <w:left w:type="dxa" w:w="100"/>
              <w:bottom w:type="dxa" w:w="60"/>
              <w:right w:type="dxa" w:w="100"/>
            </w:tcMar>
          </w:tcPr>
          <w:p>
            <w:pPr>
              <w:spacing w:after="0"/>
            </w:pPr>
            <w:r>
              <w:rPr>
                <w:sz w:val="19"/>
                <w:szCs w:val="19"/>
              </w:rPr>
              <w:t xml:space="preserve">Scope omitted — cabinet bases wicked, non-salvageable</w:t>
            </w:r>
          </w:p>
        </w:tc>
      </w:tr>
      <w:tr>
        <w:trPr>
          <w:tblHeader w:val="false"/>
        </w:trPr>
        <w:tc>
          <w:tcPr>
            <w:tcMar>
              <w:top w:type="dxa" w:w="60"/>
              <w:left w:type="dxa" w:w="100"/>
              <w:bottom w:type="dxa" w:w="60"/>
              <w:right w:type="dxa" w:w="100"/>
            </w:tcMar>
          </w:tcPr>
          <w:p>
            <w:pPr>
              <w:spacing w:after="0"/>
            </w:pPr>
            <w:r>
              <w:rPr>
                <w:sz w:val="19"/>
                <w:szCs w:val="19"/>
              </w:rPr>
              <w:t xml:space="preserve">19</w:t>
            </w:r>
          </w:p>
        </w:tc>
        <w:tc>
          <w:tcPr>
            <w:tcMar>
              <w:top w:type="dxa" w:w="60"/>
              <w:left w:type="dxa" w:w="100"/>
              <w:bottom w:type="dxa" w:w="60"/>
              <w:right w:type="dxa" w:w="100"/>
            </w:tcMar>
          </w:tcPr>
          <w:p>
            <w:pPr>
              <w:spacing w:after="0"/>
            </w:pPr>
            <w:r>
              <w:rPr>
                <w:sz w:val="19"/>
                <w:szCs w:val="19"/>
              </w:rPr>
              <w:t xml:space="preserve">Contents manipulation and block/pad</w:t>
            </w:r>
          </w:p>
        </w:tc>
        <w:tc>
          <w:tcPr>
            <w:tcMar>
              <w:top w:type="dxa" w:w="60"/>
              <w:left w:type="dxa" w:w="100"/>
              <w:bottom w:type="dxa" w:w="60"/>
              <w:right w:type="dxa" w:w="100"/>
            </w:tcMar>
          </w:tcPr>
          <w:p>
            <w:pPr>
              <w:spacing w:after="0"/>
            </w:pPr>
            <w:r>
              <w:rPr>
                <w:sz w:val="19"/>
                <w:szCs w:val="19"/>
              </w:rPr>
              <w:t xml:space="preserve">not included</w:t>
            </w:r>
          </w:p>
        </w:tc>
        <w:tc>
          <w:tcPr>
            <w:tcMar>
              <w:top w:type="dxa" w:w="60"/>
              <w:left w:type="dxa" w:w="100"/>
              <w:bottom w:type="dxa" w:w="60"/>
              <w:right w:type="dxa" w:w="100"/>
            </w:tcMar>
          </w:tcPr>
          <w:p>
            <w:pPr>
              <w:spacing w:after="0"/>
            </w:pPr>
            <w:r>
              <w:rPr>
                <w:sz w:val="19"/>
                <w:szCs w:val="19"/>
              </w:rPr>
              <w:t xml:space="preserve">1 EA = $2,049</w:t>
            </w:r>
          </w:p>
        </w:tc>
        <w:tc>
          <w:tcPr>
            <w:tcMar>
              <w:top w:type="dxa" w:w="60"/>
              <w:left w:type="dxa" w:w="100"/>
              <w:bottom w:type="dxa" w:w="60"/>
              <w:right w:type="dxa" w:w="100"/>
            </w:tcMar>
          </w:tcPr>
          <w:p>
            <w:pPr>
              <w:spacing w:after="0"/>
            </w:pPr>
            <w:r>
              <w:rPr>
                <w:sz w:val="19"/>
                <w:szCs w:val="19"/>
              </w:rPr>
              <w:t xml:space="preserve">+$2,049</w:t>
            </w:r>
          </w:p>
        </w:tc>
        <w:tc>
          <w:tcPr>
            <w:tcMar>
              <w:top w:type="dxa" w:w="60"/>
              <w:left w:type="dxa" w:w="100"/>
              <w:bottom w:type="dxa" w:w="60"/>
              <w:right w:type="dxa" w:w="100"/>
            </w:tcMar>
          </w:tcPr>
          <w:p>
            <w:pPr>
              <w:spacing w:after="0"/>
            </w:pPr>
            <w:r>
              <w:rPr>
                <w:sz w:val="19"/>
                <w:szCs w:val="19"/>
              </w:rPr>
              <w:t xml:space="preserve">Scope omitted — required to access flooring</w:t>
            </w:r>
          </w:p>
        </w:tc>
      </w:tr>
      <w:tr>
        <w:trPr>
          <w:tblHeader w:val="false"/>
        </w:trPr>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Detach and reset toilet</w:t>
            </w:r>
          </w:p>
        </w:tc>
        <w:tc>
          <w:tcPr>
            <w:tcMar>
              <w:top w:type="dxa" w:w="60"/>
              <w:left w:type="dxa" w:w="100"/>
              <w:bottom w:type="dxa" w:w="60"/>
              <w:right w:type="dxa" w:w="100"/>
            </w:tcMar>
          </w:tcPr>
          <w:p>
            <w:pPr>
              <w:spacing w:after="0"/>
            </w:pPr>
            <w:r>
              <w:rPr>
                <w:sz w:val="19"/>
                <w:szCs w:val="19"/>
              </w:rPr>
              <w:t xml:space="preserve">1 EA</w:t>
            </w:r>
          </w:p>
        </w:tc>
        <w:tc>
          <w:tcPr>
            <w:tcMar>
              <w:top w:type="dxa" w:w="60"/>
              <w:left w:type="dxa" w:w="100"/>
              <w:bottom w:type="dxa" w:w="60"/>
              <w:right w:type="dxa" w:w="100"/>
            </w:tcMar>
          </w:tcPr>
          <w:p>
            <w:pPr>
              <w:spacing w:after="0"/>
            </w:pPr>
            <w:r>
              <w:rPr>
                <w:sz w:val="19"/>
                <w:szCs w:val="19"/>
              </w:rPr>
              <w:t xml:space="preserve">2 EA</w:t>
            </w:r>
          </w:p>
        </w:tc>
        <w:tc>
          <w:tcPr>
            <w:tcMar>
              <w:top w:type="dxa" w:w="60"/>
              <w:left w:type="dxa" w:w="100"/>
              <w:bottom w:type="dxa" w:w="60"/>
              <w:right w:type="dxa" w:w="100"/>
            </w:tcMar>
          </w:tcPr>
          <w:p>
            <w:pPr>
              <w:spacing w:after="0"/>
            </w:pPr>
            <w:r>
              <w:rPr>
                <w:sz w:val="19"/>
                <w:szCs w:val="19"/>
              </w:rPr>
              <w:t xml:space="preserve">+$186</w:t>
            </w:r>
          </w:p>
        </w:tc>
        <w:tc>
          <w:tcPr>
            <w:tcMar>
              <w:top w:type="dxa" w:w="60"/>
              <w:left w:type="dxa" w:w="100"/>
              <w:bottom w:type="dxa" w:w="60"/>
              <w:right w:type="dxa" w:w="100"/>
            </w:tcMar>
          </w:tcPr>
          <w:p>
            <w:pPr>
              <w:spacing w:after="0"/>
            </w:pPr>
            <w:r>
              <w:rPr>
                <w:sz w:val="19"/>
                <w:szCs w:val="19"/>
              </w:rPr>
              <w:t xml:space="preserve">Two bathrooms affected, one omitted</w:t>
            </w:r>
          </w:p>
        </w:tc>
      </w:tr>
      <w:tr>
        <w:trPr>
          <w:tblHeader w:val="false"/>
        </w:trPr>
        <w:tc>
          <w:tcPr>
            <w:tcMar>
              <w:top w:type="dxa" w:w="60"/>
              <w:left w:type="dxa" w:w="100"/>
              <w:bottom w:type="dxa" w:w="60"/>
              <w:right w:type="dxa" w:w="100"/>
            </w:tcMar>
          </w:tcPr>
          <w:p>
            <w:pPr>
              <w:spacing w:after="0"/>
            </w:pPr>
            <w:r>
              <w:rPr>
                <w:sz w:val="19"/>
                <w:szCs w:val="19"/>
              </w:rPr>
              <w:t xml:space="preserve">22</w:t>
            </w:r>
          </w:p>
        </w:tc>
        <w:tc>
          <w:tcPr>
            <w:tcMar>
              <w:top w:type="dxa" w:w="60"/>
              <w:left w:type="dxa" w:w="100"/>
              <w:bottom w:type="dxa" w:w="60"/>
              <w:right w:type="dxa" w:w="100"/>
            </w:tcMar>
          </w:tcPr>
          <w:p>
            <w:pPr>
              <w:spacing w:after="0"/>
            </w:pPr>
            <w:r>
              <w:rPr>
                <w:sz w:val="19"/>
                <w:szCs w:val="19"/>
              </w:rPr>
              <w:t xml:space="preserve">Drying equipment, air movers</w:t>
            </w:r>
          </w:p>
        </w:tc>
        <w:tc>
          <w:tcPr>
            <w:tcMar>
              <w:top w:type="dxa" w:w="60"/>
              <w:left w:type="dxa" w:w="100"/>
              <w:bottom w:type="dxa" w:w="60"/>
              <w:right w:type="dxa" w:w="100"/>
            </w:tcMar>
          </w:tcPr>
          <w:p>
            <w:pPr>
              <w:spacing w:after="0"/>
            </w:pPr>
            <w:r>
              <w:rPr>
                <w:sz w:val="19"/>
                <w:szCs w:val="19"/>
              </w:rPr>
              <w:t xml:space="preserve">4 days</w:t>
            </w:r>
          </w:p>
        </w:tc>
        <w:tc>
          <w:tcPr>
            <w:tcMar>
              <w:top w:type="dxa" w:w="60"/>
              <w:left w:type="dxa" w:w="100"/>
              <w:bottom w:type="dxa" w:w="60"/>
              <w:right w:type="dxa" w:w="100"/>
            </w:tcMar>
          </w:tcPr>
          <w:p>
            <w:pPr>
              <w:spacing w:after="0"/>
            </w:pPr>
            <w:r>
              <w:rPr>
                <w:sz w:val="19"/>
                <w:szCs w:val="19"/>
              </w:rPr>
              <w:t xml:space="preserve">7 days</w:t>
            </w:r>
          </w:p>
        </w:tc>
        <w:tc>
          <w:tcPr>
            <w:tcMar>
              <w:top w:type="dxa" w:w="60"/>
              <w:left w:type="dxa" w:w="100"/>
              <w:bottom w:type="dxa" w:w="60"/>
              <w:right w:type="dxa" w:w="100"/>
            </w:tcMar>
          </w:tcPr>
          <w:p>
            <w:pPr>
              <w:spacing w:after="0"/>
            </w:pPr>
            <w:r>
              <w:rPr>
                <w:sz w:val="19"/>
                <w:szCs w:val="19"/>
              </w:rPr>
              <w:t xml:space="preserve">+$980</w:t>
            </w:r>
          </w:p>
        </w:tc>
        <w:tc>
          <w:tcPr>
            <w:tcMar>
              <w:top w:type="dxa" w:w="60"/>
              <w:left w:type="dxa" w:w="100"/>
              <w:bottom w:type="dxa" w:w="60"/>
              <w:right w:type="dxa" w:w="100"/>
            </w:tcMar>
          </w:tcPr>
          <w:p>
            <w:pPr>
              <w:spacing w:after="0"/>
            </w:pPr>
            <w:r>
              <w:rPr>
                <w:sz w:val="19"/>
                <w:szCs w:val="19"/>
              </w:rPr>
              <w:t xml:space="preserve">Kestrel log records 7 days on site</w:t>
            </w:r>
          </w:p>
        </w:tc>
      </w:tr>
      <w:tr>
        <w:trPr>
          <w:tblHeader w:val="false"/>
        </w:trPr>
        <w:tc>
          <w:tcPr>
            <w:tcMar>
              <w:top w:type="dxa" w:w="60"/>
              <w:left w:type="dxa" w:w="100"/>
              <w:bottom w:type="dxa" w:w="60"/>
              <w:right w:type="dxa" w:w="100"/>
            </w:tcMar>
          </w:tcPr>
          <w:p>
            <w:pPr>
              <w:spacing w:after="0"/>
            </w:pPr>
            <w:r>
              <w:rPr>
                <w:sz w:val="19"/>
                <w:szCs w:val="19"/>
              </w:rPr>
              <w:t xml:space="preserve">26</w:t>
            </w:r>
          </w:p>
        </w:tc>
        <w:tc>
          <w:tcPr>
            <w:tcMar>
              <w:top w:type="dxa" w:w="60"/>
              <w:left w:type="dxa" w:w="100"/>
              <w:bottom w:type="dxa" w:w="60"/>
              <w:right w:type="dxa" w:w="100"/>
            </w:tcMar>
          </w:tcPr>
          <w:p>
            <w:pPr>
              <w:spacing w:after="0"/>
            </w:pPr>
            <w:r>
              <w:rPr>
                <w:sz w:val="19"/>
                <w:szCs w:val="19"/>
              </w:rPr>
              <w:t xml:space="preserve">Antimicrobial application</w:t>
            </w:r>
          </w:p>
        </w:tc>
        <w:tc>
          <w:tcPr>
            <w:tcMar>
              <w:top w:type="dxa" w:w="60"/>
              <w:left w:type="dxa" w:w="100"/>
              <w:bottom w:type="dxa" w:w="60"/>
              <w:right w:type="dxa" w:w="100"/>
            </w:tcMar>
          </w:tcPr>
          <w:p>
            <w:pPr>
              <w:spacing w:after="0"/>
            </w:pPr>
            <w:r>
              <w:rPr>
                <w:sz w:val="19"/>
                <w:szCs w:val="19"/>
              </w:rPr>
              <w:t xml:space="preserve">340 SF</w:t>
            </w:r>
          </w:p>
        </w:tc>
        <w:tc>
          <w:tcPr>
            <w:tcMar>
              <w:top w:type="dxa" w:w="60"/>
              <w:left w:type="dxa" w:w="100"/>
              <w:bottom w:type="dxa" w:w="60"/>
              <w:right w:type="dxa" w:w="100"/>
            </w:tcMar>
          </w:tcPr>
          <w:p>
            <w:pPr>
              <w:spacing w:after="0"/>
            </w:pPr>
            <w:r>
              <w:rPr>
                <w:sz w:val="19"/>
                <w:szCs w:val="19"/>
              </w:rPr>
              <w:t xml:space="preserve">480 SF</w:t>
            </w:r>
          </w:p>
        </w:tc>
        <w:tc>
          <w:tcPr>
            <w:tcMar>
              <w:top w:type="dxa" w:w="60"/>
              <w:left w:type="dxa" w:w="100"/>
              <w:bottom w:type="dxa" w:w="60"/>
              <w:right w:type="dxa" w:w="100"/>
            </w:tcMar>
          </w:tcPr>
          <w:p>
            <w:pPr>
              <w:spacing w:after="0"/>
            </w:pPr>
            <w:r>
              <w:rPr>
                <w:sz w:val="19"/>
                <w:szCs w:val="19"/>
              </w:rPr>
              <w:t xml:space="preserve">+$462</w:t>
            </w:r>
          </w:p>
        </w:tc>
        <w:tc>
          <w:tcPr>
            <w:tcMar>
              <w:top w:type="dxa" w:w="60"/>
              <w:left w:type="dxa" w:w="100"/>
              <w:bottom w:type="dxa" w:w="60"/>
              <w:right w:type="dxa" w:w="100"/>
            </w:tcMar>
          </w:tcPr>
          <w:p>
            <w:pPr>
              <w:spacing w:after="0"/>
            </w:pPr>
            <w:r>
              <w:rPr>
                <w:sz w:val="19"/>
                <w:szCs w:val="19"/>
              </w:rPr>
              <w:t xml:space="preserve">Area measured 13 Aug; carrier figure predates removal</w:t>
            </w:r>
          </w:p>
        </w:tc>
      </w:tr>
      <w:tr>
        <w:trPr>
          <w:tblHeader w:val="false"/>
        </w:trPr>
        <w:tc>
          <w:tcPr>
            <w:tcMar>
              <w:top w:type="dxa" w:w="60"/>
              <w:left w:type="dxa" w:w="100"/>
              <w:bottom w:type="dxa" w:w="60"/>
              <w:right w:type="dxa" w:w="100"/>
            </w:tcMar>
          </w:tcPr>
          <w:p>
            <w:pPr>
              <w:spacing w:after="0"/>
            </w:pPr>
            <w:r>
              <w:rPr>
                <w:sz w:val="19"/>
                <w:szCs w:val="19"/>
              </w:rPr>
              <w:t xml:space="preserve">31</w:t>
            </w:r>
          </w:p>
        </w:tc>
        <w:tc>
          <w:tcPr>
            <w:tcMar>
              <w:top w:type="dxa" w:w="60"/>
              <w:left w:type="dxa" w:w="100"/>
              <w:bottom w:type="dxa" w:w="60"/>
              <w:right w:type="dxa" w:w="100"/>
            </w:tcMar>
          </w:tcPr>
          <w:p>
            <w:pPr>
              <w:spacing w:after="0"/>
            </w:pPr>
            <w:r>
              <w:rPr>
                <w:sz w:val="19"/>
                <w:szCs w:val="19"/>
              </w:rPr>
              <w:t xml:space="preserve">Baseboard replacement</w:t>
            </w:r>
          </w:p>
        </w:tc>
        <w:tc>
          <w:tcPr>
            <w:tcMar>
              <w:top w:type="dxa" w:w="60"/>
              <w:left w:type="dxa" w:w="100"/>
              <w:bottom w:type="dxa" w:w="60"/>
              <w:right w:type="dxa" w:w="100"/>
            </w:tcMar>
          </w:tcPr>
          <w:p>
            <w:pPr>
              <w:spacing w:after="0"/>
            </w:pPr>
            <w:r>
              <w:rPr>
                <w:sz w:val="19"/>
                <w:szCs w:val="19"/>
              </w:rPr>
              <w:t xml:space="preserve">118 LF</w:t>
            </w:r>
          </w:p>
        </w:tc>
        <w:tc>
          <w:tcPr>
            <w:tcMar>
              <w:top w:type="dxa" w:w="60"/>
              <w:left w:type="dxa" w:w="100"/>
              <w:bottom w:type="dxa" w:w="60"/>
              <w:right w:type="dxa" w:w="100"/>
            </w:tcMar>
          </w:tcPr>
          <w:p>
            <w:pPr>
              <w:spacing w:after="0"/>
            </w:pPr>
            <w:r>
              <w:rPr>
                <w:sz w:val="19"/>
                <w:szCs w:val="19"/>
              </w:rPr>
              <w:t xml:space="preserve">130 LF</w:t>
            </w:r>
          </w:p>
        </w:tc>
        <w:tc>
          <w:tcPr>
            <w:tcMar>
              <w:top w:type="dxa" w:w="60"/>
              <w:left w:type="dxa" w:w="100"/>
              <w:bottom w:type="dxa" w:w="60"/>
              <w:right w:type="dxa" w:w="100"/>
            </w:tcMar>
          </w:tcPr>
          <w:p>
            <w:pPr>
              <w:spacing w:after="0"/>
            </w:pPr>
            <w:r>
              <w:rPr>
                <w:sz w:val="19"/>
                <w:szCs w:val="19"/>
              </w:rPr>
              <w:t xml:space="preserve">+$312</w:t>
            </w:r>
          </w:p>
        </w:tc>
        <w:tc>
          <w:tcPr>
            <w:tcMar>
              <w:top w:type="dxa" w:w="60"/>
              <w:left w:type="dxa" w:w="100"/>
              <w:bottom w:type="dxa" w:w="60"/>
              <w:right w:type="dxa" w:w="100"/>
            </w:tcMar>
          </w:tcPr>
          <w:p>
            <w:pPr>
              <w:spacing w:after="0"/>
            </w:pPr>
            <w:r>
              <w:rPr>
                <w:sz w:val="19"/>
                <w:szCs w:val="19"/>
              </w:rPr>
              <w:t xml:space="preserve">Continuous run measured, not per-room estimate</w:t>
            </w:r>
          </w:p>
        </w:tc>
      </w:tr>
      <w:tr>
        <w:trPr>
          <w:tblHeader w:val="false"/>
        </w:trPr>
        <w:tc>
          <w:tcPr>
            <w:tcMar>
              <w:top w:type="dxa" w:w="60"/>
              <w:left w:type="dxa" w:w="100"/>
              <w:bottom w:type="dxa" w:w="60"/>
              <w:right w:type="dxa" w:w="100"/>
            </w:tcMar>
          </w:tcPr>
          <w:p>
            <w:pPr>
              <w:spacing w:after="0"/>
            </w:pPr>
            <w:r>
              <w:rPr>
                <w:sz w:val="19"/>
                <w:szCs w:val="19"/>
              </w:rPr>
              <w:t xml:space="preserve">14</w:t>
            </w:r>
          </w:p>
        </w:tc>
        <w:tc>
          <w:tcPr>
            <w:tcMar>
              <w:top w:type="dxa" w:w="60"/>
              <w:left w:type="dxa" w:w="100"/>
              <w:bottom w:type="dxa" w:w="60"/>
              <w:right w:type="dxa" w:w="100"/>
            </w:tcMar>
          </w:tcPr>
          <w:p>
            <w:pPr>
              <w:spacing w:after="0"/>
            </w:pPr>
            <w:r>
              <w:rPr>
                <w:sz w:val="19"/>
                <w:szCs w:val="19"/>
              </w:rPr>
              <w:t xml:space="preserve">Paint walls, living room</w:t>
            </w:r>
          </w:p>
        </w:tc>
        <w:tc>
          <w:tcPr>
            <w:tcMar>
              <w:top w:type="dxa" w:w="60"/>
              <w:left w:type="dxa" w:w="100"/>
              <w:bottom w:type="dxa" w:w="60"/>
              <w:right w:type="dxa" w:w="100"/>
            </w:tcMar>
          </w:tcPr>
          <w:p>
            <w:pPr>
              <w:spacing w:after="0"/>
            </w:pPr>
            <w:r>
              <w:rPr>
                <w:sz w:val="19"/>
                <w:szCs w:val="19"/>
              </w:rPr>
              <w:t xml:space="preserve">2 coats</w:t>
            </w:r>
          </w:p>
        </w:tc>
        <w:tc>
          <w:tcPr>
            <w:tcMar>
              <w:top w:type="dxa" w:w="60"/>
              <w:left w:type="dxa" w:w="100"/>
              <w:bottom w:type="dxa" w:w="60"/>
              <w:right w:type="dxa" w:w="100"/>
            </w:tcMar>
          </w:tcPr>
          <w:p>
            <w:pPr>
              <w:spacing w:after="0"/>
            </w:pPr>
            <w:r>
              <w:rPr>
                <w:sz w:val="19"/>
                <w:szCs w:val="19"/>
              </w:rPr>
              <w:t xml:space="preserve">2 coats</w:t>
            </w:r>
          </w:p>
        </w:tc>
        <w:tc>
          <w:tcPr>
            <w:tcMar>
              <w:top w:type="dxa" w:w="60"/>
              <w:left w:type="dxa" w:w="100"/>
              <w:bottom w:type="dxa" w:w="60"/>
              <w:right w:type="dxa" w:w="100"/>
            </w:tcMar>
          </w:tcPr>
          <w:p>
            <w:pPr>
              <w:spacing w:after="0"/>
            </w:pPr>
            <w:r>
              <w:rPr>
                <w:sz w:val="19"/>
                <w:szCs w:val="19"/>
              </w:rPr>
              <w:t xml:space="preserve">+$310</w:t>
            </w:r>
          </w:p>
        </w:tc>
        <w:tc>
          <w:tcPr>
            <w:tcMar>
              <w:top w:type="dxa" w:w="60"/>
              <w:left w:type="dxa" w:w="100"/>
              <w:bottom w:type="dxa" w:w="60"/>
              <w:right w:type="dxa" w:w="100"/>
            </w:tcMar>
          </w:tcPr>
          <w:p>
            <w:pPr>
              <w:spacing w:after="0"/>
            </w:pPr>
            <w:r>
              <w:rPr>
                <w:sz w:val="19"/>
                <w:szCs w:val="19"/>
              </w:rPr>
              <w:t xml:space="preserve">Method: sealer required over water-staining</w:t>
            </w:r>
          </w:p>
        </w:tc>
      </w:tr>
      <w:tr>
        <w:trPr>
          <w:tblHeader w:val="false"/>
        </w:trPr>
        <w:tc>
          <w:tcPr>
            <w:tcMar>
              <w:top w:type="dxa" w:w="60"/>
              <w:left w:type="dxa" w:w="100"/>
              <w:bottom w:type="dxa" w:w="60"/>
              <w:right w:type="dxa" w:w="100"/>
            </w:tcMar>
          </w:tcPr>
          <w:p>
            <w:pPr>
              <w:spacing w:after="0"/>
            </w:pPr>
            <w:r>
              <w:rPr>
                <w:sz w:val="19"/>
                <w:szCs w:val="19"/>
              </w:rPr>
              <w:t xml:space="preserve">38</w:t>
            </w:r>
          </w:p>
        </w:tc>
        <w:tc>
          <w:tcPr>
            <w:tcMar>
              <w:top w:type="dxa" w:w="60"/>
              <w:left w:type="dxa" w:w="100"/>
              <w:bottom w:type="dxa" w:w="60"/>
              <w:right w:type="dxa" w:w="100"/>
            </w:tcMar>
          </w:tcPr>
          <w:p>
            <w:pPr>
              <w:spacing w:after="0"/>
            </w:pPr>
            <w:r>
              <w:rPr>
                <w:sz w:val="19"/>
                <w:szCs w:val="19"/>
              </w:rPr>
              <w:t xml:space="preserve">Ceiling texture, hallway</w:t>
            </w:r>
          </w:p>
        </w:tc>
        <w:tc>
          <w:tcPr>
            <w:tcMar>
              <w:top w:type="dxa" w:w="60"/>
              <w:left w:type="dxa" w:w="100"/>
              <w:bottom w:type="dxa" w:w="60"/>
              <w:right w:type="dxa" w:w="100"/>
            </w:tcMar>
          </w:tcPr>
          <w:p>
            <w:pPr>
              <w:spacing w:after="0"/>
            </w:pPr>
            <w:r>
              <w:rPr>
                <w:sz w:val="19"/>
                <w:szCs w:val="19"/>
              </w:rPr>
              <w:t xml:space="preserve">84 SF @ $6.10</w:t>
            </w:r>
          </w:p>
        </w:tc>
        <w:tc>
          <w:tcPr>
            <w:tcMar>
              <w:top w:type="dxa" w:w="60"/>
              <w:left w:type="dxa" w:w="100"/>
              <w:bottom w:type="dxa" w:w="60"/>
              <w:right w:type="dxa" w:w="100"/>
            </w:tcMar>
          </w:tcPr>
          <w:p>
            <w:pPr>
              <w:spacing w:after="0"/>
            </w:pPr>
            <w:r>
              <w:rPr>
                <w:sz w:val="19"/>
                <w:szCs w:val="19"/>
              </w:rPr>
              <w:t xml:space="preserve">84 SF @ $4.90</w:t>
            </w:r>
          </w:p>
        </w:tc>
        <w:tc>
          <w:tcPr>
            <w:tcMar>
              <w:top w:type="dxa" w:w="60"/>
              <w:left w:type="dxa" w:w="100"/>
              <w:bottom w:type="dxa" w:w="60"/>
              <w:right w:type="dxa" w:w="100"/>
            </w:tcMar>
          </w:tcPr>
          <w:p>
            <w:pPr>
              <w:spacing w:after="0"/>
            </w:pPr>
            <w:r>
              <w:rPr>
                <w:sz w:val="19"/>
                <w:szCs w:val="19"/>
              </w:rPr>
              <w:t xml:space="preserve">($500)</w:t>
            </w:r>
          </w:p>
        </w:tc>
        <w:tc>
          <w:tcPr>
            <w:tcMar>
              <w:top w:type="dxa" w:w="60"/>
              <w:left w:type="dxa" w:w="100"/>
              <w:bottom w:type="dxa" w:w="60"/>
              <w:right w:type="dxa" w:w="100"/>
            </w:tcMar>
          </w:tcPr>
          <w:p>
            <w:pPr>
              <w:spacing w:after="0"/>
            </w:pPr>
            <w:r>
              <w:rPr>
                <w:sz w:val="19"/>
                <w:szCs w:val="19"/>
              </w:rPr>
              <w:t xml:space="preserve">Carrier's rate exceeds current list; ours is correct</w:t>
            </w:r>
          </w:p>
        </w:tc>
      </w:tr>
    </w:tbl>
    <w:p/>
    <w:p>
      <w:pPr>
        <w:spacing w:after="120"/>
      </w:pPr>
      <w:r>
        <w:t xml:space="preserve">Six further lines differ on unit price by $610 in aggregate. They are listed in the attached schedule and are not pressed individually — a reconciliation that fights every rounding difference teaches the reader that none of the differences are serious.</w:t>
      </w:r>
    </w:p>
    <w:p/>
    <w:p>
      <w:pPr>
        <w:pStyle w:val="Heading2"/>
      </w:pPr>
      <w:r>
        <w:t xml:space="preserve">Evidence for each contested line</w:t>
      </w:r>
    </w:p>
    <w:p>
      <w:pPr>
        <w:spacing w:after="120"/>
      </w:pPr>
      <w:r>
        <w:t xml:space="preserve">Line 7, subfloor: Kestrel moisture map dated 16 July 2026, readings at points K3, K5 and K7 recording 24%, 22% and 25% against a 12% dry standard for the material. Photographs 44-51 taken 13 August after flooring removal show visible delamination at the same three locations. The carrier's inspection on 18 July preceded flooring removal, which is a fair explanation for the omission and is why this is presented as an omission rather than an error.</w:t>
      </w:r>
    </w:p>
    <w:p/>
    <w:p>
      <w:pPr>
        <w:spacing w:after="120"/>
      </w:pPr>
      <w:r>
        <w:t xml:space="preserve">Line 11, cabinetry: photographs 52-58 show the cabinet bases in place with a visible tide line at 4 inches and swelling at the toe kick on units 3, 4 and 5. Manufacturer specification attached: particleboard core, no repair method published for water intrusion, replacement only.</w:t>
      </w:r>
    </w:p>
    <w:p/>
    <w:p>
      <w:pPr>
        <w:spacing w:after="120"/>
      </w:pPr>
      <w:r>
        <w:t xml:space="preserve">Line 19, contents manipulation: not evidenced by a photograph but by necessity — lines 7 and 11 cannot be performed with the contents in place. If lines 7 and 11 are declined, line 19 falls with them, and we say so rather than leaving three lines to be argued as though they were independent.</w:t>
      </w:r>
    </w:p>
    <w:p/>
    <w:p>
      <w:pPr>
        <w:spacing w:after="120"/>
      </w:pPr>
      <w:r>
        <w:t xml:space="preserve">Line 22, drying duration: Kestrel equipment log, pages 2-3, recording placement 14 July and collection 21 July. Seven days on site is a document, not an opinion.</w:t>
      </w:r>
    </w:p>
    <w:p/>
    <w:p>
      <w:pPr>
        <w:spacing w:after="120"/>
      </w:pPr>
      <w:r>
        <w:t xml:space="preserve">Line 14, sealer: manufacturer's specification for the coating system, section 4.2, requiring a stain-blocking primer over water-staining before topcoat. The carrier's line prices two coats without a primer, which is not a quantity dispute but a method one.</w:t>
      </w:r>
    </w:p>
    <w:p/>
    <w:p>
      <w:pPr>
        <w:spacing w:after="120"/>
      </w:pPr>
      <w:r>
        <w:t xml:space="preserve">No line here rests on 'industry standard'. Every contested line has a photograph number, a log page, a reading or a specification section, because a line supported by a general proposition is a line the carrier can decline without saying anything specific in reply.</w:t>
      </w:r>
    </w:p>
    <w:p/>
    <w:p>
      <w:pPr>
        <w:pStyle w:val="Heading2"/>
      </w:pPr>
      <w:r>
        <w:t xml:space="preserve">Items not in dispute, and what is requested</w:t>
      </w:r>
    </w:p>
    <w:p>
      <w:pPr>
        <w:spacing w:after="120"/>
      </w:pPr>
      <w:r>
        <w:t xml:space="preserve">Agreed without qualification: all mitigation lines other than 22, all electrical, all of the utility room scope, and both plumbing repair lines. That is 31 of 40 lines and $16,890 of the carrier's total.</w:t>
      </w:r>
    </w:p>
    <w:p/>
    <w:p>
      <w:pPr>
        <w:spacing w:after="120"/>
      </w:pPr>
      <w:r>
        <w:t xml:space="preserve">One line goes the carrier's way. Line 38, ceiling texture in the hallway: the carrier priced 84 SF at $6.10 where the current list gives $4.90. Their figure is $500 too HIGH and our estimate reflects the lower rate. Disclosed because it was found in the same review that found the rest, and a reconciliation that only ever corrects in one direction is a negotiating position wearing the clothes of an analysis.</w:t>
      </w:r>
    </w:p>
    <w:p/>
    <w:p>
      <w:pPr>
        <w:spacing w:after="120"/>
      </w:pPr>
      <w:r>
        <w:t xml:space="preserve">Requested:</w:t>
      </w:r>
    </w:p>
    <w:p>
      <w:pPr>
        <w:spacing w:after="120"/>
      </w:pPr>
      <w:r>
        <w:t xml:space="preserve">1. A revised estimate incorporating lines 7, 11 and 19, or a written position on each stating the basis for declining it.</w:t>
      </w:r>
    </w:p>
    <w:p>
      <w:pPr>
        <w:spacing w:after="120"/>
      </w:pPr>
      <w:r>
        <w:t xml:space="preserve">2. A re-inspection of the kitchen, which the carrier last saw on 18 July before flooring and cabinetry removal. We will make the property available on any weekday with 48 hours' notice.</w:t>
      </w:r>
    </w:p>
    <w:p>
      <w:pPr>
        <w:spacing w:after="120"/>
      </w:pPr>
      <w:r>
        <w:t xml:space="preserve">3. Confirmation of the line 22 drying duration against the Kestrel log.</w:t>
      </w:r>
    </w:p>
    <w:p/>
    <w:p>
      <w:pPr>
        <w:spacing w:after="120"/>
      </w:pPr>
      <w:r>
        <w:t xml:space="preserve">We ask for a response by 2 September 2026, fourteen days from the date of this document. If the contested lines remain unresolved after re-inspection, the insured's options include a supplement or a demand for appraisal, and we would rather reach agreement than either.</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claims.professionaldrafter.com/public-adjuster/pa-scope-and-estimate/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Public Adjuster Estimate Reconciliation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Adjuster Estimate Reconciliation Template &amp; Example</dc:title>
  <dc:creator>Adjuster Report Library</dc:creator>
  <dc:description>How to present a competing scope and estimate to a carrier: a line-by-line reconciliation showing where the two estimates differ, why, and what each difference is worth.</dc:description>
  <cp:lastModifiedBy>Un-named</cp:lastModifiedBy>
  <cp:revision>1</cp:revision>
  <dcterms:created xsi:type="dcterms:W3CDTF">2026-10-13T13:35:09.265Z</dcterms:created>
  <dcterms:modified xsi:type="dcterms:W3CDTF">2026-10-13T13:35:09.265Z</dcterms:modified>
</cp:coreProperties>
</file>

<file path=docProps/custom.xml><?xml version="1.0" encoding="utf-8"?>
<Properties xmlns="http://schemas.openxmlformats.org/officeDocument/2006/custom-properties" xmlns:vt="http://schemas.openxmlformats.org/officeDocument/2006/docPropsVTypes"/>
</file>