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Partial Denial Letter</w:t>
      </w:r>
    </w:p>
    <w:p>
      <w:pPr>
        <w:spacing w:after="120"/>
      </w:pPr>
      <w:r>
        <w:rPr>
          <w:i/>
          <w:iCs/>
          <w:sz w:val="20"/>
          <w:szCs w:val="20"/>
        </w:rPr>
        <w:t xml:space="preserve">Fillable template. Everything highlighted in yellow is yours to replace — 18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claims.professionaldrafter.com/coverage-and-position/partial-denial-letter/</w:t>
      </w:r>
    </w:p>
    <w:p/>
    <w:p>
      <w:pPr>
        <w:pStyle w:val="Heading2"/>
      </w:pPr>
      <w:r>
        <w:t xml:space="preserve">Identifiers and date</w:t>
      </w:r>
    </w:p>
    <w:p>
      <w:pPr>
        <w:spacing w:after="120"/>
      </w:pPr>
      <w:r>
        <w:rPr>
          <w:i/>
          <w:iCs/>
          <w:sz w:val="18"/>
          <w:szCs w:val="18"/>
        </w:rPr>
        <w:t xml:space="preserve">The usual block, plus one addition worth making a habit: state the estimate revision number and date that the letter is written against. Partial denials are the letters most often superseded by a supplement, and a letter that does not say which version of the estimate it reconciles to becomes unusable the moment the estimate changes.</w:t>
      </w:r>
    </w:p>
    <w:p>
      <w:pPr>
        <w:spacing w:after="120"/>
      </w:pPr>
      <w:r>
        <w:t xml:space="preserve">Claim number: </w:t>
      </w:r>
      <w:r>
        <w:rPr>
          <w:highlight w:val="yellow"/>
          <w:highlightCs w:val="yellow"/>
        </w:rPr>
        <w:t xml:space="preserve">[ ______________________ ]</w:t>
      </w:r>
    </w:p>
    <w:p>
      <w:pPr>
        <w:spacing w:after="120"/>
      </w:pPr>
      <w:r>
        <w:t xml:space="preserve">Policy number and term: </w:t>
      </w:r>
      <w:r>
        <w:rPr>
          <w:highlight w:val="yellow"/>
          <w:highlightCs w:val="yellow"/>
        </w:rPr>
        <w:t xml:space="preserve">[ ______________________ ]</w:t>
      </w:r>
    </w:p>
    <w:p>
      <w:pPr>
        <w:spacing w:after="120"/>
      </w:pPr>
      <w:r>
        <w:t xml:space="preserve">Estimate revision and date: </w:t>
      </w:r>
      <w:r>
        <w:rPr>
          <w:highlight w:val="yellow"/>
          <w:highlightCs w:val="yellow"/>
        </w:rPr>
        <w:t xml:space="preserve">[ ______________________ ]</w:t>
      </w:r>
    </w:p>
    <w:p>
      <w:pPr>
        <w:spacing w:after="120"/>
      </w:pPr>
      <w:r>
        <w:rPr>
          <w:highlight w:val="yellow"/>
          <w:highlightCs w:val="yellow"/>
        </w:rPr>
        <w:t xml:space="preserve">[Date. Insured name and address. RE: Claim no. &lt;n&gt;; Policy no. &lt;n&gt;, term &lt;dates&gt;; Date of loss &lt;date&gt;; Loss location &lt;address&gt;. Written against estimate revision &lt;n&gt; dated &lt;date&gt;.]</w:t>
      </w:r>
    </w:p>
    <w:p/>
    <w:p>
      <w:pPr>
        <w:pStyle w:val="Heading2"/>
      </w:pPr>
      <w:r>
        <w:t xml:space="preserve">Summary: what is paid, what is declined, what remains open</w:t>
      </w:r>
    </w:p>
    <w:p>
      <w:pPr>
        <w:spacing w:after="120"/>
      </w:pPr>
      <w:r>
        <w:rPr>
          <w:i/>
          <w:iCs/>
          <w:sz w:val="18"/>
          <w:szCs w:val="18"/>
        </w:rPr>
        <w:t xml:space="preserve">Three short labeled paragraphs at the top, before any reasoning. Most recipients read the first hundred words and the amount of the check, so put the whole shape of the decision there. If a reader has to reach page three to learn that part of their claim is not being paid, the letter has failed regardless of what page three says.</w:t>
      </w:r>
    </w:p>
    <w:p>
      <w:pPr>
        <w:spacing w:after="120"/>
      </w:pPr>
      <w:r>
        <w:rPr>
          <w:highlight w:val="yellow"/>
          <w:highlightCs w:val="yellow"/>
        </w:rPr>
        <w:t xml:space="preserve">[Paid: &lt;amount&gt;, covering &lt;what&gt;. Declined: &lt;items and amounts&gt;, for the reasons at part B. Still open: &lt;question&gt;, addressed at part C.]</w:t>
      </w:r>
    </w:p>
    <w:p/>
    <w:p>
      <w:pPr>
        <w:pStyle w:val="Heading2"/>
      </w:pPr>
      <w:r>
        <w:t xml:space="preserve">Part A — the portion being paid</w:t>
      </w:r>
    </w:p>
    <w:p>
      <w:pPr>
        <w:spacing w:after="120"/>
      </w:pPr>
      <w:r>
        <w:rPr>
          <w:i/>
          <w:iCs/>
          <w:sz w:val="18"/>
          <w:szCs w:val="18"/>
        </w:rPr>
        <w:t xml:space="preserve">The arithmetic, in the order it was performed: replacement cost, depreciation, actual cash value, deductible, net payment. Say what the payment covers and what it does not include. If recoverable depreciation is available on the policy, state the amount and the conditions on which it is claimable, in the policy's own terms rather than your summary of them. Actual cash value is defined differently across states — California's insurance code defines it as repair or replacement cost less a fair and reasonable deduction for physical depreciation, with the depreciation limited to components that normally require repair within the structure's useful life, while other states apply a broad-evidence approach — so quote your form and the applicable state definition rather than describing ACV generically.</w:t>
      </w:r>
    </w:p>
    <w:p>
      <w:pPr>
        <w:spacing w:after="120"/>
      </w:pPr>
      <w:r>
        <w:t xml:space="preserve">RCV: </w:t>
      </w:r>
      <w:r>
        <w:rPr>
          <w:highlight w:val="yellow"/>
          <w:highlightCs w:val="yellow"/>
        </w:rPr>
        <w:t xml:space="preserve">[ ______________________ ]</w:t>
      </w:r>
    </w:p>
    <w:p>
      <w:pPr>
        <w:spacing w:after="120"/>
      </w:pPr>
      <w:r>
        <w:t xml:space="preserve">Depreciation: </w:t>
      </w:r>
      <w:r>
        <w:rPr>
          <w:highlight w:val="yellow"/>
          <w:highlightCs w:val="yellow"/>
        </w:rPr>
        <w:t xml:space="preserve">[ ______________________ ]</w:t>
      </w:r>
    </w:p>
    <w:p>
      <w:pPr>
        <w:spacing w:after="120"/>
      </w:pPr>
      <w:r>
        <w:t xml:space="preserve">ACV: </w:t>
      </w:r>
      <w:r>
        <w:rPr>
          <w:highlight w:val="yellow"/>
          <w:highlightCs w:val="yellow"/>
        </w:rPr>
        <w:t xml:space="preserve">[ ______________________ ]</w:t>
      </w:r>
    </w:p>
    <w:p>
      <w:pPr>
        <w:spacing w:after="120"/>
      </w:pPr>
      <w:r>
        <w:t xml:space="preserve">Deductible: </w:t>
      </w:r>
      <w:r>
        <w:rPr>
          <w:highlight w:val="yellow"/>
          <w:highlightCs w:val="yellow"/>
        </w:rPr>
        <w:t xml:space="preserve">[ ______________________ ]</w:t>
      </w:r>
    </w:p>
    <w:p>
      <w:pPr>
        <w:spacing w:after="120"/>
      </w:pPr>
      <w:r>
        <w:t xml:space="preserve">Net payment: </w:t>
      </w:r>
      <w:r>
        <w:rPr>
          <w:highlight w:val="yellow"/>
          <w:highlightCs w:val="yellow"/>
        </w:rPr>
        <w:t xml:space="preserve">[ ______________________ ]</w:t>
      </w:r>
    </w:p>
    <w:p>
      <w:pPr>
        <w:spacing w:after="120"/>
      </w:pPr>
      <w:r>
        <w:rPr>
          <w:highlight w:val="yellow"/>
          <w:highlightCs w:val="yellow"/>
        </w:rPr>
        <w:t xml:space="preserve">[Replacement cost value &lt;amount&gt;. Less depreciation &lt;amount&gt;. Actual cash value &lt;amount&gt;. Less deductible &lt;amount&gt;. Net payment enclosed &lt;amount&gt;. Recoverable depreciation of &lt;amount&gt; may be claimable under Section &lt;n&gt; on the terms stated there.]</w:t>
      </w:r>
    </w:p>
    <w:p/>
    <w:p>
      <w:pPr>
        <w:pStyle w:val="Heading2"/>
      </w:pPr>
      <w:r>
        <w:t xml:space="preserve">Part B — the portion being declined, itemized</w:t>
      </w:r>
    </w:p>
    <w:p>
      <w:pPr>
        <w:spacing w:after="120"/>
      </w:pPr>
      <w:r>
        <w:rPr>
          <w:i/>
          <w:iCs/>
          <w:sz w:val="18"/>
          <w:szCs w:val="18"/>
        </w:rPr>
        <w:t xml:space="preserve">One numbered block per declined item, each with its amount as claimed, the facts, the provision quoted, and the sentence joining them. Use the estimate's line numbers and the insured's own descriptions so the reader can match them. A declined item described only as certain plumbing components cannot be reconciled to anything, and it is the wording that produces the follow-up call.</w:t>
      </w:r>
    </w:p>
    <w:p>
      <w:pPr>
        <w:spacing w:after="120"/>
      </w:pPr>
      <w:r>
        <w:rPr>
          <w:highlight w:val="yellow"/>
          <w:highlightCs w:val="yellow"/>
        </w:rPr>
        <w:t xml:space="preserve">[Item 1: &lt;description as claimed&gt;, &lt;amount&gt;, estimate line &lt;n&gt;. Facts: &lt;numbered, dated, sourced&gt;. Provision: "&lt;verbatim quotation&gt;". Application: &lt;the connection&gt;. This item is not being paid.]</w:t>
      </w:r>
    </w:p>
    <w:p>
      <w:pPr>
        <w:pStyle w:val="ListParagraph"/>
        <w:numPr>
          <w:ilvl w:val="0"/>
          <w:numId w:val="1"/>
        </w:numPr>
        <w:spacing w:after="80"/>
      </w:pPr>
      <w:r>
        <w:t xml:space="preserve">Description as the insured or the estimate states it</w:t>
      </w:r>
    </w:p>
    <w:p>
      <w:pPr>
        <w:pStyle w:val="ListParagraph"/>
        <w:numPr>
          <w:ilvl w:val="0"/>
          <w:numId w:val="1"/>
        </w:numPr>
        <w:spacing w:after="80"/>
      </w:pPr>
      <w:r>
        <w:t xml:space="preserve">Amount claimed and estimate line reference</w:t>
      </w:r>
    </w:p>
    <w:p>
      <w:pPr>
        <w:pStyle w:val="ListParagraph"/>
        <w:numPr>
          <w:ilvl w:val="0"/>
          <w:numId w:val="1"/>
        </w:numPr>
        <w:spacing w:after="80"/>
      </w:pPr>
      <w:r>
        <w:t xml:space="preserve">Facts, then provision quoted, then the application</w:t>
      </w:r>
    </w:p>
    <w:p/>
    <w:p>
      <w:pPr>
        <w:pStyle w:val="Heading2"/>
      </w:pPr>
      <w:r>
        <w:t xml:space="preserve">Part C — what remains open</w:t>
      </w:r>
    </w:p>
    <w:p>
      <w:pPr>
        <w:spacing w:after="120"/>
      </w:pPr>
      <w:r>
        <w:rPr>
          <w:i/>
          <w:iCs/>
          <w:sz w:val="18"/>
          <w:szCs w:val="18"/>
        </w:rPr>
        <w:t xml:space="preserve">Anything under investigation, described as under investigation. Name the question, say what has been done, say what would resolve it, and give a date for the next update. Then state explicitly that the payment in part A is not an acceptance of this question and the declines in part B are not a decision on it. This is the section that keeps the letter honest, and it is the section that disappears first when someone edits for length.</w:t>
      </w:r>
    </w:p>
    <w:p>
      <w:pPr>
        <w:spacing w:after="120"/>
      </w:pPr>
      <w:r>
        <w:rPr>
          <w:highlight w:val="yellow"/>
          <w:highlightCs w:val="yellow"/>
        </w:rPr>
        <w:t xml:space="preserve">[The following remains under investigation and is neither paid nor denied: &lt;question&gt;. We have &lt;steps taken&gt;. &lt;What would resolve it.&gt; We will write again by &lt;date&gt;. The payment above does not resolve this question.]</w:t>
      </w:r>
    </w:p>
    <w:p/>
    <w:p>
      <w:pPr>
        <w:pStyle w:val="Heading2"/>
      </w:pPr>
      <w:r>
        <w:t xml:space="preserve">How the deductible and any limits were applied</w:t>
      </w:r>
    </w:p>
    <w:p>
      <w:pPr>
        <w:spacing w:after="120"/>
      </w:pPr>
      <w:r>
        <w:rPr>
          <w:i/>
          <w:iCs/>
          <w:sz w:val="18"/>
          <w:szCs w:val="18"/>
        </w:rPr>
        <w:t xml:space="preserve">One paragraph. Which deductible, applied to which coverage, applied once or per-item, and whether any sublimit or coverage limit affected the figures. Deductible arithmetic is the most common source of a disputed partial payment, and the dispute is usually about method rather than amount.</w:t>
      </w:r>
    </w:p>
    <w:p>
      <w:pPr>
        <w:spacing w:after="120"/>
      </w:pPr>
      <w:r>
        <w:rPr>
          <w:highlight w:val="yellow"/>
          <w:highlightCs w:val="yellow"/>
        </w:rPr>
        <w:t xml:space="preserve">[The &lt;amount&gt; deductible under Coverage &lt;n&gt; has been applied once to this occurrence, against &lt;coverage&gt;. &lt;Any sublimit applied, and the provision it comes from.&gt;]</w:t>
      </w:r>
    </w:p>
    <w:p/>
    <w:p>
      <w:pPr>
        <w:pStyle w:val="Heading2"/>
      </w:pPr>
      <w:r>
        <w:t xml:space="preserve">Supplements and what to send if you disagree</w:t>
      </w:r>
    </w:p>
    <w:p>
      <w:pPr>
        <w:spacing w:after="120"/>
      </w:pPr>
      <w:r>
        <w:rPr>
          <w:i/>
          <w:iCs/>
          <w:sz w:val="18"/>
          <w:szCs w:val="18"/>
        </w:rPr>
        <w:t xml:space="preserve">Two distinct routes, and readers conflate them. A supplement is for additional damage or additional cost discovered later on the paid portion; a challenge to part B is a different thing and needs different material. Say which documents you would actually act on for each. Point to the appraisal provision by section where the disagreement would be about amount rather than coverage, and quote rather than characterize it.</w:t>
      </w:r>
    </w:p>
    <w:p>
      <w:pPr>
        <w:spacing w:after="120"/>
      </w:pPr>
      <w:r>
        <w:rPr>
          <w:highlight w:val="yellow"/>
          <w:highlightCs w:val="yellow"/>
        </w:rPr>
        <w:t xml:space="preserve">[If additional damage is found on the repairs covered by part A, send &lt;documents&gt; and we will review it as a supplement. If you disagree with part B, send &lt;what would bear on the facts&gt;. Your policy provides at Section &lt;n&gt;: "&lt;appraisal clause, verbatim&gt;".]</w:t>
      </w:r>
    </w:p>
    <w:p/>
    <w:p>
      <w:pPr>
        <w:pStyle w:val="Heading2"/>
      </w:pPr>
      <w:r>
        <w:t xml:space="preserve">Rights reserved, contact and next date</w:t>
      </w:r>
    </w:p>
    <w:p>
      <w:pPr>
        <w:spacing w:after="120"/>
      </w:pPr>
      <w:r>
        <w:rPr>
          <w:i/>
          <w:iCs/>
          <w:sz w:val="18"/>
          <w:szCs w:val="18"/>
        </w:rPr>
        <w:t xml:space="preserve">Short. Rights reserved on the open question in part C only, not a general reservation appended out of habit; a blanket reservation attached to a letter that has just paid half the claim is exactly the boilerplate the specific parts of this letter were written to avoid. Then a named person, a direct line, and the date of the next update. Model 902 §7(B) recommends a further status letter 45 days after the insurer's notice that more time is needed and every 45 days after that, and adopting states vary both the interval and the trigger, so set the date against your own state's text.</w:t>
      </w:r>
    </w:p>
    <w:p>
      <w:pPr>
        <w:spacing w:after="120"/>
      </w:pPr>
      <w:r>
        <w:t xml:space="preserve">Adjuster and direct line: </w:t>
      </w:r>
      <w:r>
        <w:rPr>
          <w:highlight w:val="yellow"/>
          <w:highlightCs w:val="yellow"/>
        </w:rPr>
        <w:t xml:space="preserve">[ ______________________ ]</w:t>
      </w:r>
    </w:p>
    <w:p>
      <w:pPr>
        <w:spacing w:after="120"/>
      </w:pPr>
      <w:r>
        <w:t xml:space="preserve">Next update date: </w:t>
      </w:r>
      <w:r>
        <w:rPr>
          <w:highlight w:val="yellow"/>
          <w:highlightCs w:val="yellow"/>
        </w:rPr>
        <w:t xml:space="preserve">[ ______________________ ]</w:t>
      </w:r>
    </w:p>
    <w:p>
      <w:pPr>
        <w:spacing w:after="120"/>
      </w:pPr>
      <w:r>
        <w:rPr>
          <w:highlight w:val="yellow"/>
          <w:highlightCs w:val="yellow"/>
        </w:rPr>
        <w:t xml:space="preserve">[We reserve our rights under the provisions identified at part C. &lt;Adjuster name, title, direct line, email.&gt; Next update by &lt;date&gt;.]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water loss where the dwelling repairs and the damaged contents are being paid, two line items are declined on a discrete provision, and the duration of the leak remains undetermined. The letter pays, declines and reserves in the same document, and the reserved question is left open because the file has not answered it.</w:t>
      </w:r>
    </w:p>
    <w:p/>
    <w:p>
      <w:pPr>
        <w:pStyle w:val="Heading2"/>
      </w:pPr>
      <w:r>
        <w:t xml:space="preserve">Identifiers and date</w:t>
      </w:r>
    </w:p>
    <w:p>
      <w:pPr>
        <w:spacing w:after="120"/>
      </w:pPr>
      <w:r>
        <w:t xml:space="preserve">24 July 2026</w:t>
      </w:r>
    </w:p>
    <w:p/>
    <w:p>
      <w:pPr>
        <w:spacing w:after="120"/>
      </w:pPr>
      <w:r>
        <w:t xml:space="preserve">Mr D. Okonjo</w:t>
      </w:r>
    </w:p>
    <w:p>
      <w:pPr>
        <w:spacing w:after="120"/>
      </w:pPr>
      <w:r>
        <w:t xml:space="preserve">118 Harbour Lane</w:t>
      </w:r>
    </w:p>
    <w:p/>
    <w:p>
      <w:pPr>
        <w:spacing w:after="120"/>
      </w:pPr>
      <w:r>
        <w:t xml:space="preserve">RE: Claim no. PC-2026-11482</w:t>
      </w:r>
    </w:p>
    <w:p>
      <w:pPr>
        <w:spacing w:after="120"/>
      </w:pPr>
      <w:r>
        <w:t xml:space="preserve">Policy no. HO-4471903, term 1 March 2026 to 1 March 2027</w:t>
      </w:r>
    </w:p>
    <w:p>
      <w:pPr>
        <w:spacing w:after="120"/>
      </w:pPr>
      <w:r>
        <w:t xml:space="preserve">Date of loss: reported 14 July 2026</w:t>
      </w:r>
    </w:p>
    <w:p>
      <w:pPr>
        <w:spacing w:after="120"/>
      </w:pPr>
      <w:r>
        <w:t xml:space="preserve">Loss location: 118 Harbour Lane</w:t>
      </w:r>
    </w:p>
    <w:p/>
    <w:p>
      <w:pPr>
        <w:spacing w:after="120"/>
      </w:pPr>
      <w:r>
        <w:t xml:space="preserve">This letter is written against estimate revision 2, dated 22 July 2026, a copy of which is enclosed.</w:t>
      </w:r>
    </w:p>
    <w:p/>
    <w:p>
      <w:pPr>
        <w:pStyle w:val="Heading2"/>
      </w:pPr>
      <w:r>
        <w:t xml:space="preserve">Summary: what is paid, what is declined, what remains open</w:t>
      </w:r>
    </w:p>
    <w:p>
      <w:pPr>
        <w:spacing w:after="120"/>
      </w:pPr>
      <w:r>
        <w:t xml:space="preserve">Paid. A payment of $14,800.00 is enclosed. It covers the dwelling repairs on revision 2 of the estimate, other than the two lines identified below, and the fourteen cartons of water-damaged books, on an actual cash value basis, after your $2,500 deductible. The arithmetic is at part A.</w:t>
      </w:r>
    </w:p>
    <w:p/>
    <w:p>
      <w:pPr>
        <w:spacing w:after="120"/>
      </w:pPr>
      <w:r>
        <w:t xml:space="preserve">Declined. Two items totaling $1,900.00 are not being paid: replacement of the water heater itself and replacement of its supply line. The reasons are at part B, with the facts and the policy wording each rests on.</w:t>
      </w:r>
    </w:p>
    <w:p/>
    <w:p>
      <w:pPr>
        <w:spacing w:after="120"/>
      </w:pPr>
      <w:r>
        <w:t xml:space="preserve">Still open. One question is neither paid nor denied: how long water was escaping from the failed fitting before you discovered it on 14 July. We have not been able to determine it. That question, and what we are doing about it, is at part C. The payment enclosed does not resolve it in either direction.</w:t>
      </w:r>
    </w:p>
    <w:p/>
    <w:p>
      <w:pPr>
        <w:pStyle w:val="Heading2"/>
      </w:pPr>
      <w:r>
        <w:t xml:space="preserve">Part A — the portion being paid</w:t>
      </w:r>
    </w:p>
    <w:p>
      <w:pPr>
        <w:spacing w:after="120"/>
      </w:pPr>
      <w:r>
        <w:t xml:space="preserve">Dwelling, per estimate revision 2 dated 22 July 2026. The estimate as written totals:</w:t>
      </w:r>
    </w:p>
    <w:p/>
    <w:p>
      <w:pPr>
        <w:spacing w:after="120"/>
      </w:pPr>
      <w:r>
        <w:t xml:space="preserve">  Replacement cost value                    $18,340.00</w:t>
      </w:r>
    </w:p>
    <w:p>
      <w:pPr>
        <w:spacing w:after="120"/>
      </w:pPr>
      <w:r>
        <w:t xml:space="preserve">  Less depreciation                            $450.00</w:t>
      </w:r>
    </w:p>
    <w:p>
      <w:pPr>
        <w:spacing w:after="120"/>
      </w:pPr>
      <w:r>
        <w:t xml:space="preserve">  Actual cash value                         $17,890.00</w:t>
      </w:r>
    </w:p>
    <w:p/>
    <w:p>
      <w:pPr>
        <w:spacing w:after="120"/>
      </w:pPr>
      <w:r>
        <w:t xml:space="preserve">The two declined lines at part B are inside that total, so they are taken out here:</w:t>
      </w:r>
    </w:p>
    <w:p/>
    <w:p>
      <w:pPr>
        <w:spacing w:after="120"/>
      </w:pPr>
      <w:r>
        <w:t xml:space="preserve">  Less lines 31 and 32, replacement cost      $1,900.00</w:t>
      </w:r>
    </w:p>
    <w:p>
      <w:pPr>
        <w:spacing w:after="120"/>
      </w:pPr>
      <w:r>
        <w:t xml:space="preserve">  Less depreciation on those lines              $190.00</w:t>
      </w:r>
    </w:p>
    <w:p>
      <w:pPr>
        <w:spacing w:after="120"/>
      </w:pPr>
      <w:r>
        <w:t xml:space="preserve">  Declined actual cash value                  $1,710.00</w:t>
      </w:r>
    </w:p>
    <w:p/>
    <w:p>
      <w:pPr>
        <w:spacing w:after="120"/>
      </w:pPr>
      <w:r>
        <w:t xml:space="preserve">  Dwelling replacement cost payable          $16,440.00</w:t>
      </w:r>
    </w:p>
    <w:p>
      <w:pPr>
        <w:spacing w:after="120"/>
      </w:pPr>
      <w:r>
        <w:t xml:space="preserve">  Less depreciation                             $260.00</w:t>
      </w:r>
    </w:p>
    <w:p>
      <w:pPr>
        <w:spacing w:after="120"/>
      </w:pPr>
      <w:r>
        <w:t xml:space="preserve">  Dwelling actual cash value                 $16,180.00</w:t>
      </w:r>
    </w:p>
    <w:p/>
    <w:p>
      <w:pPr>
        <w:spacing w:after="120"/>
      </w:pPr>
      <w:r>
        <w:t xml:space="preserve">Unscheduled personal property - fourteen cartons of books, priced from the inventory you provided on 18 July and returned priced on 23 July:</w:t>
      </w:r>
    </w:p>
    <w:p/>
    <w:p>
      <w:pPr>
        <w:spacing w:after="120"/>
      </w:pPr>
      <w:r>
        <w:t xml:space="preserve">  Actual cash value                           $1,120.00</w:t>
      </w:r>
    </w:p>
    <w:p/>
    <w:p>
      <w:pPr>
        <w:spacing w:after="120"/>
      </w:pPr>
      <w:r>
        <w:t xml:space="preserve">  Total actual cash value                    $17,300.00</w:t>
      </w:r>
    </w:p>
    <w:p>
      <w:pPr>
        <w:spacing w:after="120"/>
      </w:pPr>
      <w:r>
        <w:t xml:space="preserve">  Less deductible                             $2,500.00</w:t>
      </w:r>
    </w:p>
    <w:p>
      <w:pPr>
        <w:spacing w:after="120"/>
      </w:pPr>
      <w:r>
        <w:t xml:space="preserve">  Net payment enclosed                       $14,800.00</w:t>
      </w:r>
    </w:p>
    <w:p/>
    <w:p>
      <w:pPr>
        <w:spacing w:after="120"/>
      </w:pPr>
      <w:r>
        <w:t xml:space="preserve">The $260.00 of depreciation withheld on the covered dwelling lines is recoverable under Section I - Conditions, Loss Settlement, on the terms stated in that provision. In short, it becomes claimable when the repairs are actually completed and you send us the contractor's invoices; read the provision itself for the conditions and the time limit, because both are stated there and neither is set by this letter.</w:t>
      </w:r>
    </w:p>
    <w:p/>
    <w:p>
      <w:pPr>
        <w:spacing w:after="120"/>
      </w:pPr>
      <w:r>
        <w:t xml:space="preserve">This payment covers the 31 linear feet of drywall removal and replacement, base trim, slab cleaning and drying, the utility closet surround, and detaching and resetting the affected shelving. It does not cover the two items at part B.</w:t>
      </w:r>
    </w:p>
    <w:p/>
    <w:p>
      <w:pPr>
        <w:pStyle w:val="Heading2"/>
      </w:pPr>
      <w:r>
        <w:t xml:space="preserve">Part B — the portion being declined, itemized</w:t>
      </w:r>
    </w:p>
    <w:p>
      <w:pPr>
        <w:spacing w:after="120"/>
      </w:pPr>
      <w:r>
        <w:t xml:space="preserve">Both of the items below appear on estimate revision 2 and have been removed from the payment at part A, as the arithmetic there shows.</w:t>
      </w:r>
    </w:p>
    <w:p/>
    <w:p>
      <w:pPr>
        <w:spacing w:after="120"/>
      </w:pPr>
      <w:r>
        <w:t xml:space="preserve">Item 1. Replacement of the water heater. Claimed at $1,860.00, estimate line 31.</w:t>
      </w:r>
    </w:p>
    <w:p/>
    <w:p>
      <w:pPr>
        <w:spacing w:after="120"/>
      </w:pPr>
      <w:r>
        <w:t xml:space="preserve">Facts. (1) On inspection of 18 July 2026 the writer observed that the braided stainless supply line serving the water heater had separated at the crimped fitting at the heater end. (2) The heater tank and its controls were undamaged; there was no observed corrosion, no distortion of the jacket, and the unit was operating when tested on 18 July. (3) The failure was at the fitting, not within the heater.</w:t>
      </w:r>
    </w:p>
    <w:p/>
    <w:p>
      <w:pPr>
        <w:spacing w:after="120"/>
      </w:pPr>
      <w:r>
        <w:t xml:space="preserve">Provision. Form HO-3, Section I - Perils Insured Against, provides in the accidental discharge or overflow of water provision that this peril does not include loss to the system or appliance from which the water or steam escaped.</w:t>
      </w:r>
    </w:p>
    <w:p/>
    <w:p>
      <w:pPr>
        <w:spacing w:after="120"/>
      </w:pPr>
      <w:r>
        <w:t xml:space="preserve">Application. The water escaped from the supply line at its connection to the heater. The heater is the appliance from which the water escaped, and the water heater itself was in any event undamaged on inspection, per fact 2. This item is not being paid.</w:t>
      </w:r>
    </w:p>
    <w:p/>
    <w:p>
      <w:pPr>
        <w:spacing w:after="120"/>
      </w:pPr>
      <w:r>
        <w:t xml:space="preserve">Item 2. Replacement of the supply line and fitting. Claimed at $40.00, estimate line 32.</w:t>
      </w:r>
    </w:p>
    <w:p/>
    <w:p>
      <w:pPr>
        <w:spacing w:after="120"/>
      </w:pPr>
      <w:r>
        <w:t xml:space="preserve">Facts. (4) The supply line and the failed fitting are the components that separated, per fact 1. (5) They were retained by us on 18 July 2026, tagged and photographed, and remain in our possession in connection with the recovery referral described at part C.</w:t>
      </w:r>
    </w:p>
    <w:p/>
    <w:p>
      <w:pPr>
        <w:spacing w:after="120"/>
      </w:pPr>
      <w:r>
        <w:t xml:space="preserve">Provision. As quoted at item 1.</w:t>
      </w:r>
    </w:p>
    <w:p/>
    <w:p>
      <w:pPr>
        <w:spacing w:after="120"/>
      </w:pPr>
      <w:r>
        <w:t xml:space="preserve">Application. The line and fitting are the part of the system from which the water escaped. This item is not being paid. Separately, and so that you are not surprised by it: because those components have been retained for the recovery investigation, we can arrange for you to inspect them or have them examined on notice to us.</w:t>
      </w:r>
    </w:p>
    <w:p/>
    <w:p>
      <w:pPr>
        <w:spacing w:after="120"/>
      </w:pPr>
      <w:r>
        <w:t xml:space="preserve">These two items total $1,900.00. Nothing else on estimate revision 2 is being declined.</w:t>
      </w:r>
    </w:p>
    <w:p/>
    <w:p>
      <w:pPr>
        <w:pStyle w:val="Heading2"/>
      </w:pPr>
      <w:r>
        <w:t xml:space="preserve">Part C — what remains open</w:t>
      </w:r>
    </w:p>
    <w:p>
      <w:pPr>
        <w:spacing w:after="120"/>
      </w:pPr>
      <w:r>
        <w:t xml:space="preserve">The question that remains open is how long water was escaping from the fitting before discovery.</w:t>
      </w:r>
    </w:p>
    <w:p/>
    <w:p>
      <w:pPr>
        <w:spacing w:after="120"/>
      </w:pPr>
      <w:r>
        <w:t xml:space="preserve">What we know. You told us the dwelling was last occupied at approximately 18:00 on Friday 11 July, and that you found standing water at approximately 07:15 on 14 July. That is an interval of roughly 61 hours, but it is an outer bound and not a measurement. Moisture readings taken on 18 July with a Delmhorst BD-2100 on the slab at 4, 8, 12 and 16 feet from the utility closet were 18.4%, 16.1%, 14.8% and 11.2%, against a baseline of 9.6% in the far bedroom. That gradient is consistent with a release lasting many hours. It does not distinguish twelve hours from sixty.</w:t>
      </w:r>
    </w:p>
    <w:p/>
    <w:p>
      <w:pPr>
        <w:spacing w:after="120"/>
      </w:pPr>
      <w:r>
        <w:t xml:space="preserve">What we have done. There is no water sub-meter at the property. Municipal supply is billed quarterly and the next read is due in September, so the consumption record will not isolate the period. There is no leak alarm and no occupancy log. We asked you on 22 July for any record covering 11 to 14 July — a utility or smart-home app history, a security system entry log, or an observation by a neighbor. Nothing further has been identified.</w:t>
      </w:r>
    </w:p>
    <w:p/>
    <w:p>
      <w:pPr>
        <w:spacing w:after="120"/>
      </w:pPr>
      <w:r>
        <w:t xml:space="preserve">Why it matters. Your policy excludes loss caused by constant or repeated seepage or leakage of water over a period of weeks, months or years from within a plumbing system or a household appliance. The question is factual: how long. We are recording it as undetermined rather than estimating it, because an estimate offered here would be treated as a finding later.</w:t>
      </w:r>
    </w:p>
    <w:p/>
    <w:p>
      <w:pPr>
        <w:spacing w:after="120"/>
      </w:pPr>
      <w:r>
        <w:t xml:space="preserve">We reserve our rights under that provision. The payment at part A is not an acceptance on that question and the declines at part B are not a decision on it. We will write to you again about it no later than 5 September 2026.</w:t>
      </w:r>
    </w:p>
    <w:p/>
    <w:p>
      <w:pPr>
        <w:spacing w:after="120"/>
      </w:pPr>
      <w:r>
        <w:t xml:space="preserve">Separately, we have referred the failed components to our recovery unit, which is looking at the installation carried out by Feldstrom Plumbing under invoice 20941 dated 3 August 2025. That is a matter between us and the installer and does not affect the payment enclosed.</w:t>
      </w:r>
    </w:p>
    <w:p/>
    <w:p>
      <w:pPr>
        <w:pStyle w:val="Heading2"/>
      </w:pPr>
      <w:r>
        <w:t xml:space="preserve">How the deductible and any limits were applied</w:t>
      </w:r>
    </w:p>
    <w:p>
      <w:pPr>
        <w:spacing w:after="120"/>
      </w:pPr>
      <w:r>
        <w:t xml:space="preserve">Your all-peril deductible of $2,500.00 has been applied once to this occurrence, against the combined actual cash value of the dwelling and personal property portions shown at part A - that is, against $17,300.00, not against the estimate total before the declined lines were removed. It has not been applied separately to each coverage.</w:t>
      </w:r>
    </w:p>
    <w:p/>
    <w:p>
      <w:pPr>
        <w:spacing w:after="120"/>
      </w:pPr>
      <w:r>
        <w:t xml:space="preserve">No sublimit affected these figures. The dwelling limit of $310,000 and the unscheduled personal property limit of $155,000 are both well above the amounts in question. No additional living expense has been claimed or paid, as the dwelling has remained habitable throughout.</w:t>
      </w:r>
    </w:p>
    <w:p/>
    <w:p>
      <w:pPr>
        <w:pStyle w:val="Heading2"/>
      </w:pPr>
      <w:r>
        <w:t xml:space="preserve">Supplements and what to send if you disagree</w:t>
      </w:r>
    </w:p>
    <w:p>
      <w:pPr>
        <w:spacing w:after="120"/>
      </w:pPr>
      <w:r>
        <w:t xml:space="preserve">If your contractor finds additional damage once the drywall is opened up — further wicking above 14 inches, damage to the bottom plate or to the electrical at the base of the wall — that is a supplement, not a dispute. Send the revised scope, photographs of what was found, and the invoice, and we will review it against revision 2. Do that before the work is closed up if you can.</w:t>
      </w:r>
    </w:p>
    <w:p/>
    <w:p>
      <w:pPr>
        <w:spacing w:after="120"/>
      </w:pPr>
      <w:r>
        <w:t xml:space="preserve">If you disagree with the two declined items at part B, what would bear on it is information about where the failure occurred and the condition of the heater: a plumber's assessment of the retained components, or documentation of damage to the heater itself that we did not observe on 18 July.</w:t>
      </w:r>
    </w:p>
    <w:p/>
    <w:p>
      <w:pPr>
        <w:spacing w:after="120"/>
      </w:pPr>
      <w:r>
        <w:t xml:space="preserve">If we agree on what is damaged but not on the amount, your policy provides at Section I - Conditions, Appraisal, that if you and we fail to agree on the amount of loss, either may demand an appraisal, in which case each party chooses a competent and impartial appraiser within 20 days after receiving a written request from the other. The provision sets out how the appraisers and the umpire are appointed and how the costs are shared. Read it in full before demanding appraisal.</w:t>
      </w:r>
    </w:p>
    <w:p/>
    <w:p>
      <w:pPr>
        <w:pStyle w:val="Heading2"/>
      </w:pPr>
      <w:r>
        <w:t xml:space="preserve">Rights reserved, contact and next date</w:t>
      </w:r>
    </w:p>
    <w:p>
      <w:pPr>
        <w:spacing w:after="120"/>
      </w:pPr>
      <w:r>
        <w:t xml:space="preserve">We reserve our rights under the seepage and leakage provision identified at part C, and under the policy generally in respect of that question. Nothing in this letter is a waiver of those rights, and equally nothing in it reopens the portion paid at part A.</w:t>
      </w:r>
    </w:p>
    <w:p/>
    <w:p>
      <w:pPr>
        <w:spacing w:after="120"/>
      </w:pPr>
      <w:r>
        <w:t xml:space="preserve">R. Calloway, field adjuster, direct line and email as shown above. Examiner: C. Mendez.</w:t>
      </w:r>
    </w:p>
    <w:p/>
    <w:p>
      <w:pPr>
        <w:spacing w:after="120"/>
      </w:pPr>
      <w:r>
        <w:t xml:space="preserve">We will write again about the part C question no later than 5 September 2026, and sooner if anything comes in that bears on it.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claims.professionaldrafter.com/coverage-and-position/partial-denial-letter/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Partial Denial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Partial Denial Letter Template &amp; Example</dc:title>
  <dc:creator>Adjuster Report Library</dc:creator>
  <dc:description>A partial denial letter template with a filled-in example separating what is paid, what is declined and what stays open, plus a section-by-section guide. Free Word download.</dc:description>
  <cp:lastModifiedBy>Un-named</cp:lastModifiedBy>
  <cp:revision>1</cp:revision>
  <dcterms:created xsi:type="dcterms:W3CDTF">2026-10-13T13:35:08.840Z</dcterms:created>
  <dcterms:modified xsi:type="dcterms:W3CDTF">2026-10-13T13:35:08.840Z</dcterms:modified>
</cp:coreProperties>
</file>

<file path=docProps/custom.xml><?xml version="1.0" encoding="utf-8"?>
<Properties xmlns="http://schemas.openxmlformats.org/officeDocument/2006/custom-properties" xmlns:vt="http://schemas.openxmlformats.org/officeDocument/2006/docPropsVTypes"/>
</file>