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Public Adjuster Contract</w:t>
      </w:r>
    </w:p>
    <w:p>
      <w:pPr>
        <w:spacing w:after="120"/>
      </w:pPr>
      <w:r>
        <w:rPr>
          <w:i/>
          <w:iCs/>
          <w:sz w:val="20"/>
          <w:szCs w:val="20"/>
        </w:rPr>
        <w:t xml:space="preserve">Fillable template. Everything highlighted in yellow is yours to replace — 29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claims.professionaldrafter.com/public-adjuster/public-adjuster-contract/</w:t>
      </w:r>
    </w:p>
    <w:p/>
    <w:p>
      <w:pPr>
        <w:pStyle w:val="Heading2"/>
      </w:pPr>
      <w:r>
        <w:t xml:space="preserve">Title and identification of the adjuster</w:t>
      </w:r>
    </w:p>
    <w:p>
      <w:pPr>
        <w:spacing w:after="120"/>
      </w:pPr>
      <w:r>
        <w:rPr>
          <w:i/>
          <w:iCs/>
          <w:sz w:val="18"/>
          <w:szCs w:val="18"/>
        </w:rPr>
        <w:t xml:space="preserve">The heading is a required term, not formatting. Then identify the adjuster as the Department of Insurance records identify them: legible full name of the individual signing, permanent home state business address and phone number, and the licence number. 'Legible' is in the model because the recurring failure is a signature block nobody can resolve into a licensed person.</w:t>
      </w:r>
    </w:p>
    <w:p>
      <w:pPr>
        <w:spacing w:after="120"/>
      </w:pPr>
      <w:r>
        <w:t xml:space="preserve">Adjuster full name (as in Department records): </w:t>
      </w:r>
      <w:r>
        <w:rPr>
          <w:highlight w:val="yellow"/>
          <w:highlightCs w:val="yellow"/>
        </w:rPr>
        <w:t xml:space="preserve">[ ______________________ ]</w:t>
      </w:r>
    </w:p>
    <w:p>
      <w:pPr>
        <w:spacing w:after="120"/>
      </w:pPr>
      <w:r>
        <w:t xml:space="preserve">Permanent home state business address: </w:t>
      </w:r>
      <w:r>
        <w:rPr>
          <w:highlight w:val="yellow"/>
          <w:highlightCs w:val="yellow"/>
        </w:rPr>
        <w:t xml:space="preserve">[ ______________________ ]</w:t>
      </w:r>
    </w:p>
    <w:p>
      <w:pPr>
        <w:spacing w:after="120"/>
      </w:pPr>
      <w:r>
        <w:t xml:space="preserve">Business phone: </w:t>
      </w:r>
      <w:r>
        <w:rPr>
          <w:highlight w:val="yellow"/>
          <w:highlightCs w:val="yellow"/>
        </w:rPr>
        <w:t xml:space="preserve">[ ______________________ ]</w:t>
      </w:r>
    </w:p>
    <w:p>
      <w:pPr>
        <w:spacing w:after="120"/>
      </w:pPr>
      <w:r>
        <w:t xml:space="preserve">Department of Insurance licence number: </w:t>
      </w:r>
      <w:r>
        <w:rPr>
          <w:highlight w:val="yellow"/>
          <w:highlightCs w:val="yellow"/>
        </w:rPr>
        <w:t xml:space="preserve">[ ______________________ ]</w:t>
      </w:r>
    </w:p>
    <w:p>
      <w:pPr>
        <w:spacing w:after="120"/>
      </w:pPr>
      <w:r>
        <w:rPr>
          <w:highlight w:val="yellow"/>
          <w:highlightCs w:val="yellow"/>
        </w:rPr>
        <w:t xml:space="preserve">[Document titled 'Public Adjuster Contract'; adjuster's full legible name as recorded with the Department; home state business address and phone; licence number]</w:t>
      </w:r>
    </w:p>
    <w:p/>
    <w:p>
      <w:pPr>
        <w:pStyle w:val="Heading2"/>
      </w:pPr>
      <w:r>
        <w:t xml:space="preserve">The insured, the policy and the loss</w:t>
      </w:r>
    </w:p>
    <w:p>
      <w:pPr>
        <w:spacing w:after="120"/>
      </w:pPr>
      <w:r>
        <w:rPr>
          <w:i/>
          <w:iCs/>
          <w:sz w:val="18"/>
          <w:szCs w:val="18"/>
        </w:rPr>
        <w:t xml:space="preserve">Full name, street address, insurer name and policy number — the model allows the policy number to follow 'upon notification' where it is not yet known, which is common when an insured retains help before locating their declarations page. Then a description of the loss and its location. Vagueness here is what later lets a dispute arise about which loss the contract covered, particularly where a second peril follows the first.</w:t>
      </w:r>
    </w:p>
    <w:p>
      <w:pPr>
        <w:spacing w:after="120"/>
      </w:pPr>
      <w:r>
        <w:t xml:space="preserve">Insured full name: </w:t>
      </w:r>
      <w:r>
        <w:rPr>
          <w:highlight w:val="yellow"/>
          <w:highlightCs w:val="yellow"/>
        </w:rPr>
        <w:t xml:space="preserve">[ ______________________ ]</w:t>
      </w:r>
    </w:p>
    <w:p>
      <w:pPr>
        <w:spacing w:after="120"/>
      </w:pPr>
      <w:r>
        <w:t xml:space="preserve">Street address: </w:t>
      </w:r>
      <w:r>
        <w:rPr>
          <w:highlight w:val="yellow"/>
          <w:highlightCs w:val="yellow"/>
        </w:rPr>
        <w:t xml:space="preserve">[ ______________________ ]</w:t>
      </w:r>
    </w:p>
    <w:p>
      <w:pPr>
        <w:spacing w:after="120"/>
      </w:pPr>
      <w:r>
        <w:t xml:space="preserve">Insurer: </w:t>
      </w:r>
      <w:r>
        <w:rPr>
          <w:highlight w:val="yellow"/>
          <w:highlightCs w:val="yellow"/>
        </w:rPr>
        <w:t xml:space="preserve">[ ______________________ ]</w:t>
      </w:r>
    </w:p>
    <w:p>
      <w:pPr>
        <w:spacing w:after="120"/>
      </w:pPr>
      <w:r>
        <w:t xml:space="preserve">Policy number: </w:t>
      </w:r>
      <w:r>
        <w:rPr>
          <w:highlight w:val="yellow"/>
          <w:highlightCs w:val="yellow"/>
        </w:rPr>
        <w:t xml:space="preserve">[If known, or to be supplied upon notification]</w:t>
      </w:r>
    </w:p>
    <w:p>
      <w:pPr>
        <w:spacing w:after="120"/>
      </w:pPr>
      <w:r>
        <w:t xml:space="preserve">Loss description and location: </w:t>
      </w:r>
      <w:r>
        <w:rPr>
          <w:highlight w:val="yellow"/>
          <w:highlightCs w:val="yellow"/>
        </w:rPr>
        <w:t xml:space="preserve">[ ______________________ ]</w:t>
      </w:r>
    </w:p>
    <w:p>
      <w:pPr>
        <w:spacing w:after="120"/>
      </w:pPr>
      <w:r>
        <w:t xml:space="preserve">Date of loss: </w:t>
      </w:r>
      <w:r>
        <w:rPr>
          <w:highlight w:val="yellow"/>
          <w:highlightCs w:val="yellow"/>
        </w:rPr>
        <w:t xml:space="preserve">[ ______________________ ]</w:t>
      </w:r>
    </w:p>
    <w:p>
      <w:pPr>
        <w:spacing w:after="120"/>
      </w:pPr>
      <w:r>
        <w:rPr>
          <w:highlight w:val="yellow"/>
          <w:highlightCs w:val="yellow"/>
        </w:rPr>
        <w:t xml:space="preserve">[Insured's full name and street address; insurer; policy number if known or upon notification; description of the loss and its location]</w:t>
      </w:r>
    </w:p>
    <w:p/>
    <w:p>
      <w:pPr>
        <w:pStyle w:val="Heading2"/>
      </w:pPr>
      <w:r>
        <w:t xml:space="preserve">Services to be provided</w:t>
      </w:r>
    </w:p>
    <w:p>
      <w:pPr>
        <w:spacing w:after="120"/>
      </w:pPr>
      <w:r>
        <w:rPr>
          <w:i/>
          <w:iCs/>
          <w:sz w:val="18"/>
          <w:szCs w:val="18"/>
        </w:rPr>
        <w:t xml:space="preserve">A description of what the adjuster will actually do. This is the term most often reduced to a sentence, and it is the one the insured will point at when expectations diverge. Say whether the engagement covers preparing the claim, presenting it, negotiating it, and whether it extends to appraisal or to a supplement after closing. Say what it excludes: legal advice, and anything requiring a licence the adjuster does not hold.</w:t>
      </w:r>
    </w:p>
    <w:p>
      <w:pPr>
        <w:spacing w:after="120"/>
      </w:pPr>
      <w:r>
        <w:rPr>
          <w:highlight w:val="yellow"/>
          <w:highlightCs w:val="yellow"/>
        </w:rPr>
        <w:t xml:space="preserve">[What the adjuster will do: preparation, presentation, negotiation; whether appraisal and post-closing supplements are included; what is excluded]</w:t>
      </w:r>
    </w:p>
    <w:p/>
    <w:p>
      <w:pPr>
        <w:pStyle w:val="Heading2"/>
      </w:pPr>
      <w:r>
        <w:t xml:space="preserve">Compensation</w:t>
      </w:r>
    </w:p>
    <w:p>
      <w:pPr>
        <w:spacing w:after="120"/>
      </w:pPr>
      <w:r>
        <w:rPr>
          <w:i/>
          <w:iCs/>
          <w:sz w:val="18"/>
          <w:szCs w:val="18"/>
        </w:rPr>
        <w:t xml:space="preserve">If compensation is a share of the settlement, the exact percentage is required — not a range and not 'up to'. Reimbursable initial expenses must be specified by type with dollar estimates in the contract, and any additional expense needs the insured's approval first. Two hard limits sit behind this. No fee, retainer, deposit or other thing of value may be required, demanded or accepted before the claim settles. And where the insurer pays or commits in writing to pay policy limits within 72 hours of the loss being reported, no percentage commission is permitted at all — compensation drops to reasonable time and expense, and the insured must be told the recovery might not increase.</w:t>
      </w:r>
    </w:p>
    <w:p>
      <w:pPr>
        <w:spacing w:after="120"/>
      </w:pPr>
      <w:r>
        <w:t xml:space="preserve">Fee basis: </w:t>
      </w:r>
      <w:r>
        <w:rPr>
          <w:highlight w:val="yellow"/>
          <w:highlightCs w:val="yellow"/>
        </w:rPr>
        <w:t xml:space="preserve">[Exact percentage — not a range]</w:t>
      </w:r>
    </w:p>
    <w:p>
      <w:pPr>
        <w:spacing w:after="120"/>
      </w:pPr>
      <w:r>
        <w:t xml:space="preserve">Applicable cap and its source: </w:t>
      </w:r>
      <w:r>
        <w:rPr>
          <w:highlight w:val="yellow"/>
          <w:highlightCs w:val="yellow"/>
        </w:rPr>
        <w:t xml:space="preserve">[Your state's adopted cap, cited]</w:t>
      </w:r>
    </w:p>
    <w:p>
      <w:pPr>
        <w:spacing w:after="120"/>
      </w:pPr>
      <w:r>
        <w:t xml:space="preserve">Reimbursable expenses: </w:t>
      </w:r>
      <w:r>
        <w:rPr>
          <w:highlight w:val="yellow"/>
          <w:highlightCs w:val="yellow"/>
        </w:rPr>
        <w:t xml:space="preserve">[By type, with dollar estimates]</w:t>
      </w:r>
    </w:p>
    <w:p>
      <w:pPr>
        <w:spacing w:after="120"/>
      </w:pPr>
      <w:r>
        <w:t xml:space="preserve">72-hour policy-limit provision included?: </w:t>
      </w:r>
      <w:r>
        <w:rPr>
          <w:highlight w:val="yellow"/>
          <w:highlightCs w:val="yellow"/>
        </w:rPr>
        <w:t xml:space="preserve">[Y/N]</w:t>
      </w:r>
    </w:p>
    <w:p>
      <w:pPr>
        <w:spacing w:after="120"/>
      </w:pPr>
      <w:r>
        <w:rPr>
          <w:highlight w:val="yellow"/>
          <w:highlightCs w:val="yellow"/>
        </w:rPr>
        <w:t xml:space="preserve">[Exact percentage; whether catastrophic rates apply; expense types with dollar estimates; the 72-hour policy-limit provision]</w:t>
      </w:r>
    </w:p>
    <w:p/>
    <w:p>
      <w:pPr>
        <w:pStyle w:val="Heading2"/>
      </w:pPr>
      <w:r>
        <w:t xml:space="preserve">Terms that must not appear</w:t>
      </w:r>
    </w:p>
    <w:p>
      <w:pPr>
        <w:spacing w:after="120"/>
      </w:pPr>
      <w:r>
        <w:rPr>
          <w:i/>
          <w:iCs/>
          <w:sz w:val="18"/>
          <w:szCs w:val="18"/>
        </w:rPr>
        <w:t xml:space="preserve">Four are forbidden outright, and standard forms carry them more often than firms expect. A term allowing the percentage fee to be collected when money is due from the insurer but not paid. A term allowing the whole fee to be taken from the first check rather than as a percentage of each. A term requiring the insurer to issue a check only in the adjuster's name. A term imposing collection costs or late fees. A term precluding the adjuster from pursuing civil remedies is also void. Check the form against this list before the engagement, not after a complaint.</w:t>
      </w:r>
    </w:p>
    <w:p>
      <w:pPr>
        <w:spacing w:after="120"/>
      </w:pPr>
      <w:r>
        <w:rPr>
          <w:highlight w:val="yellow"/>
          <w:highlightCs w:val="yellow"/>
        </w:rPr>
        <w:t xml:space="preserve">[Confirm none of the forbidden terms appear; record the check and its date]</w:t>
      </w:r>
    </w:p>
    <w:p>
      <w:pPr>
        <w:pStyle w:val="ListParagraph"/>
        <w:numPr>
          <w:ilvl w:val="0"/>
          <w:numId w:val="1"/>
        </w:numPr>
        <w:spacing w:after="80"/>
      </w:pPr>
      <w:r>
        <w:rPr>
          <w:highlight w:val="yellow"/>
          <w:highlightCs w:val="yellow"/>
        </w:rPr>
        <w:t xml:space="preserve">[No fee collectible on money due but unpaid]</w:t>
      </w:r>
    </w:p>
    <w:p>
      <w:pPr>
        <w:pStyle w:val="ListParagraph"/>
        <w:numPr>
          <w:ilvl w:val="0"/>
          <w:numId w:val="1"/>
        </w:numPr>
        <w:spacing w:after="80"/>
      </w:pPr>
      <w:r>
        <w:rPr>
          <w:highlight w:val="yellow"/>
          <w:highlightCs w:val="yellow"/>
        </w:rPr>
        <w:t xml:space="preserve">[Fee taken as a percentage of each check, not wholly from the first]</w:t>
      </w:r>
    </w:p>
    <w:p>
      <w:pPr>
        <w:pStyle w:val="ListParagraph"/>
        <w:numPr>
          <w:ilvl w:val="0"/>
          <w:numId w:val="1"/>
        </w:numPr>
        <w:spacing w:after="80"/>
      </w:pPr>
      <w:r>
        <w:rPr>
          <w:highlight w:val="yellow"/>
          <w:highlightCs w:val="yellow"/>
        </w:rPr>
        <w:t xml:space="preserve">[No requirement that payment issue in the adjuster's name alone]</w:t>
      </w:r>
    </w:p>
    <w:p>
      <w:pPr>
        <w:pStyle w:val="ListParagraph"/>
        <w:numPr>
          <w:ilvl w:val="0"/>
          <w:numId w:val="1"/>
        </w:numPr>
        <w:spacing w:after="80"/>
      </w:pPr>
      <w:r>
        <w:rPr>
          <w:highlight w:val="yellow"/>
          <w:highlightCs w:val="yellow"/>
        </w:rPr>
        <w:t xml:space="preserve">[No collection costs or late fees]</w:t>
      </w:r>
    </w:p>
    <w:p/>
    <w:p>
      <w:pPr>
        <w:pStyle w:val="Heading2"/>
      </w:pPr>
      <w:r>
        <w:t xml:space="preserve">Bonding attestation, signatures and execution</w:t>
      </w:r>
    </w:p>
    <w:p>
      <w:pPr>
        <w:spacing w:after="120"/>
      </w:pPr>
      <w:r>
        <w:rPr>
          <w:i/>
          <w:iCs/>
          <w:sz w:val="18"/>
          <w:szCs w:val="18"/>
        </w:rPr>
        <w:t xml:space="preserve">Attestation language stating the adjuster is fully bonded pursuant to state law is a required term. Both parties sign, and both signature dates are recorded separately — the model asks for the date the adjuster signed and the date the insured signed as distinct items, because the rescission clock runs from the insured's signature. Execute in duplicate so each party holds an original, and keep the adjuster's original available for inspection by the commissioner without notice.</w:t>
      </w:r>
    </w:p>
    <w:p>
      <w:pPr>
        <w:spacing w:after="120"/>
      </w:pPr>
      <w:r>
        <w:t xml:space="preserve">Bonding attestation present: </w:t>
      </w:r>
      <w:r>
        <w:rPr>
          <w:highlight w:val="yellow"/>
          <w:highlightCs w:val="yellow"/>
        </w:rPr>
        <w:t xml:space="preserve">[Y/N]</w:t>
      </w:r>
    </w:p>
    <w:p>
      <w:pPr>
        <w:spacing w:after="120"/>
      </w:pPr>
      <w:r>
        <w:t xml:space="preserve">Adjuster signature and date: </w:t>
      </w:r>
      <w:r>
        <w:rPr>
          <w:highlight w:val="yellow"/>
          <w:highlightCs w:val="yellow"/>
        </w:rPr>
        <w:t xml:space="preserve">[ ______________________ ]</w:t>
      </w:r>
    </w:p>
    <w:p>
      <w:pPr>
        <w:spacing w:after="120"/>
      </w:pPr>
      <w:r>
        <w:t xml:space="preserve">Insured signature and date: </w:t>
      </w:r>
      <w:r>
        <w:rPr>
          <w:highlight w:val="yellow"/>
          <w:highlightCs w:val="yellow"/>
        </w:rPr>
        <w:t xml:space="preserve">[The rescission clock runs from this date]</w:t>
      </w:r>
    </w:p>
    <w:p>
      <w:pPr>
        <w:spacing w:after="120"/>
      </w:pPr>
      <w:r>
        <w:t xml:space="preserve">Executed in duplicate: </w:t>
      </w:r>
      <w:r>
        <w:rPr>
          <w:highlight w:val="yellow"/>
          <w:highlightCs w:val="yellow"/>
        </w:rPr>
        <w:t xml:space="preserve">[Y/N — one original to each party]</w:t>
      </w:r>
    </w:p>
    <w:p>
      <w:pPr>
        <w:spacing w:after="120"/>
      </w:pPr>
      <w:r>
        <w:rPr>
          <w:highlight w:val="yellow"/>
          <w:highlightCs w:val="yellow"/>
        </w:rPr>
        <w:t xml:space="preserve">[Bonding attestation; both signatures; both dates recorded separately; executed in duplicate]</w:t>
      </w:r>
    </w:p>
    <w:p/>
    <w:p>
      <w:pPr>
        <w:pStyle w:val="Heading2"/>
      </w:pPr>
      <w:r>
        <w:t xml:space="preserve">Rescission notice on the face of the contract</w:t>
      </w:r>
    </w:p>
    <w:p>
      <w:pPr>
        <w:spacing w:after="120"/>
      </w:pPr>
      <w:r>
        <w:rPr>
          <w:i/>
          <w:iCs/>
          <w:sz w:val="18"/>
          <w:szCs w:val="18"/>
        </w:rPr>
        <w:t xml:space="preserve">The insured's right to rescind within three business days must be stated, with the address to which the rescission is sent. Several states prescribe type size or placement for this notice; the model does not, so the state act governs and it is worth checking rather than assuming the model is the ceiling.</w:t>
      </w:r>
    </w:p>
    <w:p>
      <w:pPr>
        <w:spacing w:after="120"/>
      </w:pPr>
      <w:r>
        <w:rPr>
          <w:highlight w:val="yellow"/>
          <w:highlightCs w:val="yellow"/>
        </w:rPr>
        <w:t xml:space="preserve">[Rescission right stated; period; delivery address; any state-prescribed type size or placement]</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the Harbour Lane water loss (claim PC-2026-11482) from the insured's side. Mr D. Okonjo received the carrier's estimate of $18,340 on 31 July 2026 and retained a public adjuster. This is the contract, plus the review that caught a forbidden term in the firm's standard form.</w:t>
      </w:r>
    </w:p>
    <w:p/>
    <w:p>
      <w:pPr>
        <w:pStyle w:val="Heading2"/>
      </w:pPr>
      <w:r>
        <w:t xml:space="preserve">Title and identification of the adjuster</w:t>
      </w:r>
    </w:p>
    <w:p>
      <w:pPr>
        <w:spacing w:after="120"/>
      </w:pPr>
      <w:r>
        <w:t xml:space="preserve">PUBLIC ADJUSTER CONTRACT</w:t>
      </w:r>
    </w:p>
    <w:p/>
    <w:p>
      <w:pPr>
        <w:spacing w:after="120"/>
      </w:pPr>
      <w:r>
        <w:t xml:space="preserve">Public adjuster: Thea Halvorsen, Merrow Loss Consulting LLC.</w:t>
      </w:r>
    </w:p>
    <w:p>
      <w:pPr>
        <w:spacing w:after="120"/>
      </w:pPr>
      <w:r>
        <w:t xml:space="preserve">Department of Insurance licence number: PA-118427.</w:t>
      </w:r>
    </w:p>
    <w:p>
      <w:pPr>
        <w:spacing w:after="120"/>
      </w:pPr>
      <w:r>
        <w:t xml:space="preserve">Permanent home state business address: 214 Fenwick Street, Suite 3, [City].</w:t>
      </w:r>
    </w:p>
    <w:p>
      <w:pPr>
        <w:spacing w:after="120"/>
      </w:pPr>
      <w:r>
        <w:t xml:space="preserve">Business phone: (555) 0142-8890.</w:t>
      </w:r>
    </w:p>
    <w:p/>
    <w:p>
      <w:pPr>
        <w:spacing w:after="120"/>
      </w:pPr>
      <w:r>
        <w:t xml:space="preserve">The firm's previous form carried only 'Merrow Loss Consulting LLC' above the signature line. The model requires the legible full name of the individual adjuster signing, as recorded with the Department, and an entity name is not that. Corrected before issue.</w:t>
      </w:r>
    </w:p>
    <w:p/>
    <w:p>
      <w:pPr>
        <w:pStyle w:val="Heading2"/>
      </w:pPr>
      <w:r>
        <w:t xml:space="preserve">The insured, the policy and the loss</w:t>
      </w:r>
    </w:p>
    <w:p>
      <w:pPr>
        <w:spacing w:after="120"/>
      </w:pPr>
      <w:r>
        <w:t xml:space="preserve">Insured: Daniel Okonjo.</w:t>
      </w:r>
    </w:p>
    <w:p>
      <w:pPr>
        <w:spacing w:after="120"/>
      </w:pPr>
      <w:r>
        <w:t xml:space="preserve">Street address: 41 Harbour Lane, [City].</w:t>
      </w:r>
    </w:p>
    <w:p>
      <w:pPr>
        <w:spacing w:after="120"/>
      </w:pPr>
      <w:r>
        <w:t xml:space="preserve">Insurer: [Carrier]. Policy number: HO-4471902.</w:t>
      </w:r>
    </w:p>
    <w:p>
      <w:pPr>
        <w:spacing w:after="120"/>
      </w:pPr>
      <w:r>
        <w:t xml:space="preserve">Claim number: PC-2026-11482.</w:t>
      </w:r>
    </w:p>
    <w:p>
      <w:pPr>
        <w:spacing w:after="120"/>
      </w:pPr>
      <w:r>
        <w:t xml:space="preserve">Loss: water damage to the ground floor of a single-family dwelling, originating from a failed supply line to the upstairs bathroom. Reported to the insurer 14 July 2026, discovered approximately 07:15 that day.</w:t>
      </w:r>
    </w:p>
    <w:p/>
    <w:p>
      <w:pPr>
        <w:spacing w:after="120"/>
      </w:pPr>
      <w:r>
        <w:t xml:space="preserve">The loss description names the source and the affected area rather than saying 'water damage at the above address'. Mr Okonjo reported a second, unrelated leak at an exterior tap on 2 August. It is expressly not within this contract, and a line records that: 'This contract covers the loss of 14 July 2026 only. It does not cover the exterior tap leak reported 2 August 2026.'</w:t>
      </w:r>
    </w:p>
    <w:p/>
    <w:p>
      <w:pPr>
        <w:pStyle w:val="Heading2"/>
      </w:pPr>
      <w:r>
        <w:t xml:space="preserve">Compensation</w:t>
      </w:r>
    </w:p>
    <w:p>
      <w:pPr>
        <w:spacing w:after="120"/>
      </w:pPr>
      <w:r>
        <w:t xml:space="preserve">Fee: ten percent (10%) of the total amount recovered on the claim, exclusive of any amount already paid by the insurer before the date of this contract.</w:t>
      </w:r>
    </w:p>
    <w:p/>
    <w:p>
      <w:pPr>
        <w:spacing w:after="120"/>
      </w:pPr>
      <w:r>
        <w:t xml:space="preserve">That exclusion is deliberate. The carrier had issued $6,200 in undisputed payments before Mr Okonjo made contact. Charging a percentage of money already in his hands, obtained without the adjuster's involvement, is the practice that generates most public adjuster complaints. The contract states the excluded figure so there is no arithmetic to argue about later.</w:t>
      </w:r>
    </w:p>
    <w:p/>
    <w:p>
      <w:pPr>
        <w:spacing w:after="120"/>
      </w:pPr>
      <w:r>
        <w:t xml:space="preserve">Reimbursable initial expenses, specified by type with estimates as required:</w:t>
      </w:r>
    </w:p>
    <w:p>
      <w:pPr>
        <w:spacing w:after="120"/>
      </w:pPr>
      <w:r>
        <w:t xml:space="preserve">— Independent moisture mapping and drying assessment: estimated $450</w:t>
      </w:r>
    </w:p>
    <w:p>
      <w:pPr>
        <w:spacing w:after="120"/>
      </w:pPr>
      <w:r>
        <w:t xml:space="preserve">— Certified contents inventory support: estimated $300</w:t>
      </w:r>
    </w:p>
    <w:p>
      <w:pPr>
        <w:spacing w:after="120"/>
      </w:pPr>
      <w:r>
        <w:t xml:space="preserve">— Reproduction of policy and claim file documents: estimated $60</w:t>
      </w:r>
    </w:p>
    <w:p>
      <w:pPr>
        <w:spacing w:after="120"/>
      </w:pPr>
      <w:r>
        <w:t xml:space="preserve">Any expense beyond these types, or beyond these estimates, requires Mr Okonjo's written approval before it is incurred.</w:t>
      </w:r>
    </w:p>
    <w:p/>
    <w:p>
      <w:pPr>
        <w:spacing w:after="120"/>
      </w:pPr>
      <w:r>
        <w:t xml:space="preserve">No fee, retainer or deposit has been requested or accepted, and none will be before the claim settles.</w:t>
      </w:r>
    </w:p>
    <w:p/>
    <w:p>
      <w:pPr>
        <w:spacing w:after="120"/>
      </w:pPr>
      <w:r>
        <w:t xml:space="preserve">Policy-limit provision: if the insurer pays or commits in writing to pay the policy limit within 72 hours of the loss being reported, no percentage commission is payable; compensation is limited to reasonable charges for time spent and expenses incurred. Not engaged here — the loss was reported 14 July and the contract signed 5 August — but the clause is in the form, because a form without it is non-compliant on the file where it would have applied.</w:t>
      </w:r>
    </w:p>
    <w:p/>
    <w:p>
      <w:pPr>
        <w:pStyle w:val="Heading2"/>
      </w:pPr>
      <w:r>
        <w:t xml:space="preserve">Terms that must not appear</w:t>
      </w:r>
    </w:p>
    <w:p>
      <w:pPr>
        <w:spacing w:after="120"/>
      </w:pPr>
      <w:r>
        <w:t xml:space="preserve">Reviewed against the forbidden list on 4 August 2026, before issue. One term failed.</w:t>
      </w:r>
    </w:p>
    <w:p/>
    <w:p>
      <w:pPr>
        <w:spacing w:after="120"/>
      </w:pPr>
      <w:r>
        <w:t xml:space="preserve">The firm's standard form read: 'The fee shall be payable in full upon issuance of the first payment by the insurer following execution of this agreement.' That is the second forbidden term — the whole fee taken from the first check rather than as a percentage of each. On this claim it would have meant taking the full anticipated fee out of the first supplemental payment, before the balance of the recovery existed.</w:t>
      </w:r>
    </w:p>
    <w:p/>
    <w:p>
      <w:pPr>
        <w:spacing w:after="120"/>
      </w:pPr>
      <w:r>
        <w:t xml:space="preserve">Replaced with: 'The fee is payable as ten percent (10%) of each payment issued by the insurer on this claim after the date of this contract, as and when each payment is received.'</w:t>
      </w:r>
    </w:p>
    <w:p/>
    <w:p>
      <w:pPr>
        <w:spacing w:after="120"/>
      </w:pPr>
      <w:r>
        <w:t xml:space="preserve">The other three were absent: no term collecting fees on money due but unpaid, no requirement that payment issue in the adjuster's name alone, no collection costs or late fees. The form does name the adjuster as co-payee, which the model permits, and that is not the same thing as requiring the check to issue in her name only.</w:t>
      </w:r>
    </w:p>
    <w:p/>
    <w:p>
      <w:pPr>
        <w:spacing w:after="120"/>
      </w:pPr>
      <w:r>
        <w:t xml:space="preserve">Recorded here because the term had been in the form for two years and had gone out on an unknown number of contracts.</w:t>
      </w:r>
    </w:p>
    <w:p/>
    <w:p>
      <w:pPr>
        <w:pStyle w:val="Heading2"/>
      </w:pPr>
      <w:r>
        <w:t xml:space="preserve">Rescission notice, signatures and execution</w:t>
      </w:r>
    </w:p>
    <w:p>
      <w:pPr>
        <w:spacing w:after="120"/>
      </w:pPr>
      <w:r>
        <w:t xml:space="preserve">NOTICE: You may rescind this contract within three (3) business days after the date you sign it. To rescind, deliver or mail written notice to Merrow Loss Consulting LLC, 214 Fenwick Street, Suite 3, [City], within that period.</w:t>
      </w:r>
    </w:p>
    <w:p/>
    <w:p>
      <w:pPr>
        <w:spacing w:after="120"/>
      </w:pPr>
      <w:r>
        <w:t xml:space="preserve">Signed by the public adjuster: T. Halvorsen, 5 August 2026.</w:t>
      </w:r>
    </w:p>
    <w:p>
      <w:pPr>
        <w:spacing w:after="120"/>
      </w:pPr>
      <w:r>
        <w:t xml:space="preserve">Signed by the insured: D. Okonjo, 5 August 2026.</w:t>
      </w:r>
    </w:p>
    <w:p/>
    <w:p>
      <w:pPr>
        <w:spacing w:after="120"/>
      </w:pPr>
      <w:r>
        <w:t xml:space="preserve">Both dates are recorded separately even though they are the same day, because the clock runs from the insured's signature and a single 'Date:' line loses that.</w:t>
      </w:r>
    </w:p>
    <w:p/>
    <w:p>
      <w:pPr>
        <w:spacing w:after="120"/>
      </w:pPr>
      <w:r>
        <w:t xml:space="preserve">5 August 2026 was a Wednesday, so the three business days are Thursday 6, Friday 7 and Monday 10 August. The right expires at the end of Monday 10 August 2026, not Saturday 8 — which is what a calendar-day reading gives, and which is the error that appears in most secondary summaries of this provision.</w:t>
      </w:r>
    </w:p>
    <w:p/>
    <w:p>
      <w:pPr>
        <w:spacing w:after="120"/>
      </w:pPr>
      <w:r>
        <w:t xml:space="preserve">Executed in duplicate. Original to Mr Okonjo; original retained by the firm and available for inspection by the commissioner without notice.</w:t>
      </w:r>
    </w:p>
    <w:p/>
    <w:p>
      <w:pPr>
        <w:spacing w:after="120"/>
      </w:pPr>
      <w:r>
        <w:t xml:space="preserve">Attestation: the public adjuster is fully bonded pursuant to state law.</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claims.professionaldrafter.com/public-adjuster/public-adjuster-contract/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Public Adjuster Contract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Adjuster Contract Template &amp; Example</dc:title>
  <dc:creator>Adjuster Report Library</dc:creator>
  <dc:description>A public adjuster contract template with the eleven terms the NAIC model act requires, the four it forbids, and a filled-in example. Free Word download, no signup.</dc:description>
  <cp:lastModifiedBy>Un-named</cp:lastModifiedBy>
  <cp:revision>1</cp:revision>
  <dcterms:created xsi:type="dcterms:W3CDTF">2026-10-13T13:35:09.177Z</dcterms:created>
  <dcterms:modified xsi:type="dcterms:W3CDTF">2026-10-13T13:35:09.177Z</dcterms:modified>
</cp:coreProperties>
</file>

<file path=docProps/custom.xml><?xml version="1.0" encoding="utf-8"?>
<Properties xmlns="http://schemas.openxmlformats.org/officeDocument/2006/custom-properties" xmlns:vt="http://schemas.openxmlformats.org/officeDocument/2006/docPropsVTypes"/>
</file>