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Reservation of Rights Letter</w:t>
      </w:r>
    </w:p>
    <w:p>
      <w:pPr>
        <w:spacing w:after="120"/>
      </w:pPr>
      <w:r>
        <w:rPr>
          <w:i/>
          <w:iCs/>
          <w:sz w:val="20"/>
          <w:szCs w:val="20"/>
        </w:rPr>
        <w:t xml:space="preserve">Fillable template. Everything highlighted in yellow is yours to replace — 15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claims.professionaldrafter.com/coverage-and-position/reservation-of-rights/</w:t>
      </w:r>
    </w:p>
    <w:p/>
    <w:p>
      <w:pPr>
        <w:pStyle w:val="Heading2"/>
      </w:pPr>
      <w:r>
        <w:t xml:space="preserve">Identifiers and date</w:t>
      </w:r>
    </w:p>
    <w:p>
      <w:pPr>
        <w:spacing w:after="120"/>
      </w:pPr>
      <w:r>
        <w:rPr>
          <w:i/>
          <w:iCs/>
          <w:sz w:val="18"/>
          <w:szCs w:val="18"/>
        </w:rPr>
        <w:t xml:space="preserve">Claim number, policy number, policy term, named insured, date of loss, risk address, and the date of the letter itself. Dull, and the first thing anyone checks. A reservation letter that does not identify the policy term is a letter that cannot be matched to the form it quotes.</w:t>
      </w:r>
    </w:p>
    <w:p>
      <w:pPr>
        <w:spacing w:after="120"/>
      </w:pPr>
      <w:r>
        <w:t xml:space="preserve">Claim number: </w:t>
      </w:r>
      <w:r>
        <w:rPr>
          <w:highlight w:val="yellow"/>
          <w:highlightCs w:val="yellow"/>
        </w:rPr>
        <w:t xml:space="preserve">[ ______________________ ]</w:t>
      </w:r>
    </w:p>
    <w:p>
      <w:pPr>
        <w:spacing w:after="120"/>
      </w:pPr>
      <w:r>
        <w:t xml:space="preserve">Policy number and term: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t xml:space="preserve">Loss location: </w:t>
      </w:r>
      <w:r>
        <w:rPr>
          <w:highlight w:val="yellow"/>
          <w:highlightCs w:val="yellow"/>
        </w:rPr>
        <w:t xml:space="preserve">[ ______________________ ]</w:t>
      </w:r>
    </w:p>
    <w:p>
      <w:pPr>
        <w:spacing w:after="120"/>
      </w:pPr>
      <w:r>
        <w:rPr>
          <w:highlight w:val="yellow"/>
          <w:highlightCs w:val="yellow"/>
        </w:rPr>
        <w:t xml:space="preserve">[Date. Insured name and mailing address. RE: Claim no. &lt;n&gt;; Policy no. &lt;n&gt;; Policy term &lt;dates&gt;; Date of loss &lt;date&gt;; Loss location &lt;address&gt;.]</w:t>
      </w:r>
    </w:p>
    <w:p/>
    <w:p>
      <w:pPr>
        <w:pStyle w:val="Heading2"/>
      </w:pPr>
      <w:r>
        <w:t xml:space="preserve">Purpose of this letter</w:t>
      </w:r>
    </w:p>
    <w:p>
      <w:pPr>
        <w:spacing w:after="120"/>
      </w:pPr>
      <w:r>
        <w:rPr>
          <w:i/>
          <w:iCs/>
          <w:sz w:val="18"/>
          <w:szCs w:val="18"/>
        </w:rPr>
        <w:t xml:space="preserve">Two or three sentences saying what the letter is and what it is not. It is notice that specific questions are open and that the investigation continues; it is not a denial, and it is not an agreement to pay. Say that the carrier is continuing to investigate and that continuing to do so is not an acceptance. Do not describe the legal effect of the letter — there is no general statutory definition of a reservation of rights, it is common-law doctrine, and what it accomplishes varies by state. Describe the document, not its consequences.</w:t>
      </w:r>
    </w:p>
    <w:p>
      <w:pPr>
        <w:spacing w:after="120"/>
      </w:pPr>
      <w:r>
        <w:rPr>
          <w:highlight w:val="yellow"/>
          <w:highlightCs w:val="yellow"/>
        </w:rPr>
        <w:t xml:space="preserve">[This letter is written to advise you that &lt;carrier&gt; is continuing to investigate this claim and that certain questions under the policy remain open. This is not a denial of your claim and it is not an agreement to pay it.]</w:t>
      </w:r>
    </w:p>
    <w:p/>
    <w:p>
      <w:pPr>
        <w:pStyle w:val="Heading2"/>
      </w:pPr>
      <w:r>
        <w:t xml:space="preserve">Facts as presently known</w:t>
      </w:r>
    </w:p>
    <w:p>
      <w:pPr>
        <w:spacing w:after="120"/>
      </w:pPr>
      <w:r>
        <w:rPr>
          <w:i/>
          <w:iCs/>
          <w:sz w:val="18"/>
          <w:szCs w:val="18"/>
        </w:rPr>
        <w:t xml:space="preserve">Numbered, dated, and attributed. Where a fact came from the insured, say so. Where it came from your own inspection, say so and give the date. This is the section that makes the letter specific rather than generic, and it is the section most templates leave out entirely. Keep it to facts. A characterization such as long-standing or gradual belongs in the analysis, not here.</w:t>
      </w:r>
    </w:p>
    <w:p>
      <w:pPr>
        <w:spacing w:after="120"/>
      </w:pPr>
      <w:r>
        <w:rPr>
          <w:highlight w:val="yellow"/>
          <w:highlightCs w:val="yellow"/>
        </w:rPr>
        <w:t xml:space="preserve">[1. &lt;Fact, with date and source.&gt; 2. &lt;Fact, with date and source.&gt; 3. &lt;Fact, with date and source.&gt;]</w:t>
      </w:r>
    </w:p>
    <w:p/>
    <w:p>
      <w:pPr>
        <w:pStyle w:val="Heading2"/>
      </w:pPr>
      <w:r>
        <w:t xml:space="preserve">Facts not yet established</w:t>
      </w:r>
    </w:p>
    <w:p>
      <w:pPr>
        <w:spacing w:after="120"/>
      </w:pPr>
      <w:r>
        <w:rPr>
          <w:i/>
          <w:iCs/>
          <w:sz w:val="18"/>
          <w:szCs w:val="18"/>
        </w:rPr>
        <w:t xml:space="preserve">The single most useful section in the letter and the one nobody includes. List what remains undetermined, what has been done to determine it, and what would resolve it. It tells the insured why the letter exists, it gives the file a record that the question was pursued rather than assumed, and it prevents an undetermined fact from being read downstream as a finding.</w:t>
      </w:r>
    </w:p>
    <w:p>
      <w:pPr>
        <w:spacing w:after="120"/>
      </w:pPr>
      <w:r>
        <w:rPr>
          <w:highlight w:val="yellow"/>
          <w:highlightCs w:val="yellow"/>
        </w:rPr>
        <w:t xml:space="preserve">[The following remain undetermined: &lt;item&gt;. To date we have &lt;steps taken&gt;. &lt;What would resolve it, and who holds it.&gt;]</w:t>
      </w:r>
    </w:p>
    <w:p/>
    <w:p>
      <w:pPr>
        <w:pStyle w:val="Heading2"/>
      </w:pPr>
      <w:r>
        <w:t xml:space="preserve">Policy provisions under which rights are reserved</w:t>
      </w:r>
    </w:p>
    <w:p>
      <w:pPr>
        <w:spacing w:after="120"/>
      </w:pPr>
      <w:r>
        <w:rPr>
          <w:i/>
          <w:iCs/>
          <w:sz w:val="18"/>
          <w:szCs w:val="18"/>
        </w:rPr>
        <w:t xml:space="preserve">Quote them. Give the form number, the endorsement number where one applies, the section, and the text — not a paraphrase and not a heading. Then quote only the provisions the facts above actually engage. A reservation that names eleven exclusions when two are in play is a pattern reviewers and commentators single out, and it also tells a reader that nobody read the file before writing the letter. Note that ISO forms are proprietary, so a letter can quote the form it is written against but a public guide cannot reproduce it; where you need a publicly citable analogue of a standard condition, several states enact the standard fire policy verbatim into statute and the statutory text is quotable.</w:t>
      </w:r>
    </w:p>
    <w:p>
      <w:pPr>
        <w:spacing w:after="120"/>
      </w:pPr>
      <w:r>
        <w:rPr>
          <w:highlight w:val="yellow"/>
          <w:highlightCs w:val="yellow"/>
        </w:rPr>
        <w:t xml:space="preserve">[Form &lt;n&gt;, Section &lt;n&gt;, &lt;heading&gt;, provides in relevant part: "&lt;verbatim quotation&gt;". Endorsement &lt;n&gt; &lt;if applicable&gt; provides: "&lt;verbatim quotation&gt;".]</w:t>
      </w:r>
    </w:p>
    <w:p>
      <w:pPr>
        <w:pStyle w:val="ListParagraph"/>
        <w:numPr>
          <w:ilvl w:val="0"/>
          <w:numId w:val="1"/>
        </w:numPr>
        <w:spacing w:after="80"/>
      </w:pPr>
      <w:r>
        <w:t xml:space="preserve">Form and endorsement numbers</w:t>
      </w:r>
    </w:p>
    <w:p>
      <w:pPr>
        <w:pStyle w:val="ListParagraph"/>
        <w:numPr>
          <w:ilvl w:val="0"/>
          <w:numId w:val="1"/>
        </w:numPr>
        <w:spacing w:after="80"/>
      </w:pPr>
      <w:r>
        <w:t xml:space="preserve">Section and subsection reference</w:t>
      </w:r>
    </w:p>
    <w:p>
      <w:pPr>
        <w:pStyle w:val="ListParagraph"/>
        <w:numPr>
          <w:ilvl w:val="0"/>
          <w:numId w:val="1"/>
        </w:numPr>
        <w:spacing w:after="80"/>
      </w:pPr>
      <w:r>
        <w:t xml:space="preserve">Verbatim quotation, not a summary</w:t>
      </w:r>
    </w:p>
    <w:p/>
    <w:p>
      <w:pPr>
        <w:pStyle w:val="Heading2"/>
      </w:pPr>
      <w:r>
        <w:t xml:space="preserve">How the provisions relate to these facts</w:t>
      </w:r>
    </w:p>
    <w:p>
      <w:pPr>
        <w:spacing w:after="120"/>
      </w:pPr>
      <w:r>
        <w:rPr>
          <w:i/>
          <w:iCs/>
          <w:sz w:val="18"/>
          <w:szCs w:val="18"/>
        </w:rPr>
        <w:t xml:space="preserve">One short paragraph per provision, each naming the numbered fact that raises it. This is where a reservation letter earns its keep. Write it so that a reader who disagrees with you can still see exactly what you were reasoning from. Stop short of a conclusion — the conclusion is what you are reserving, and stating one converts the letter into something else.</w:t>
      </w:r>
    </w:p>
    <w:p>
      <w:pPr>
        <w:spacing w:after="120"/>
      </w:pPr>
      <w:r>
        <w:rPr>
          <w:highlight w:val="yellow"/>
          <w:highlightCs w:val="yellow"/>
        </w:rPr>
        <w:t xml:space="preserve">[&lt;Provision&gt; is engaged by fact &lt;n&gt;: &lt;the connection, in one or two sentences&gt;. Whether it applies cannot be determined until &lt;the open item&gt; is resolved.]</w:t>
      </w:r>
    </w:p>
    <w:p/>
    <w:p>
      <w:pPr>
        <w:pStyle w:val="Heading2"/>
      </w:pPr>
      <w:r>
        <w:t xml:space="preserve">Rights reserved and obligations continuing</w:t>
      </w:r>
    </w:p>
    <w:p>
      <w:pPr>
        <w:spacing w:after="120"/>
      </w:pPr>
      <w:r>
        <w:rPr>
          <w:i/>
          <w:iCs/>
          <w:sz w:val="18"/>
          <w:szCs w:val="18"/>
        </w:rPr>
        <w:t xml:space="preserve">State that the carrier reserves its rights under the provisions quoted and under the policy generally, that no act of investigation waives any of them, and that the insured's own duties after loss continue. Point to the duties by section rather than reciting them in full. Keep this section short; length here is where boilerplate accumulates.</w:t>
      </w:r>
    </w:p>
    <w:p>
      <w:pPr>
        <w:spacing w:after="120"/>
      </w:pPr>
      <w:r>
        <w:rPr>
          <w:highlight w:val="yellow"/>
          <w:highlightCs w:val="yellow"/>
        </w:rPr>
        <w:t xml:space="preserve">[&lt;Carrier&gt; reserves all rights and defenses under the provisions quoted above and under the policy as a whole. No action taken in investigating or adjusting this claim is a waiver of any of them. Your duties after loss under Section &lt;n&gt; continue, including &lt;list by reference&gt;.]</w:t>
      </w:r>
    </w:p>
    <w:p/>
    <w:p>
      <w:pPr>
        <w:pStyle w:val="Heading2"/>
      </w:pPr>
      <w:r>
        <w:t xml:space="preserve">Information requested, with dates</w:t>
      </w:r>
    </w:p>
    <w:p>
      <w:pPr>
        <w:spacing w:after="120"/>
      </w:pPr>
      <w:r>
        <w:rPr>
          <w:i/>
          <w:iCs/>
          <w:sz w:val="18"/>
          <w:szCs w:val="18"/>
        </w:rPr>
        <w:t xml:space="preserve">Every item you need, who holds it, and the date you asked. If you have asked before, say when. An unanswered request that appears here for the first time three months into a claim reads as a request that was never made, whatever the diary says.</w:t>
      </w:r>
    </w:p>
    <w:p>
      <w:pPr>
        <w:spacing w:after="120"/>
      </w:pPr>
      <w:r>
        <w:rPr>
          <w:highlight w:val="yellow"/>
          <w:highlightCs w:val="yellow"/>
        </w:rPr>
        <w:t xml:space="preserve">[We have requested the following and they remain outstanding: &lt;item&gt;, requested &lt;date&gt;. Please provide by &lt;date&gt; or tell us if you are unable to obtain it.]</w:t>
      </w:r>
    </w:p>
    <w:p/>
    <w:p>
      <w:pPr>
        <w:pStyle w:val="Heading2"/>
      </w:pPr>
      <w:r>
        <w:t xml:space="preserve">Next contact and how to reach us</w:t>
      </w:r>
    </w:p>
    <w:p>
      <w:pPr>
        <w:spacing w:after="120"/>
      </w:pPr>
      <w:r>
        <w:rPr>
          <w:i/>
          <w:iCs/>
          <w:sz w:val="18"/>
          <w:szCs w:val="18"/>
        </w:rPr>
        <w:t xml:space="preserve">A named person, a direct line, and the date of the next update rather than a vague undertaking to be in touch. Model 902 §7(B) recommends that where an insurer needs more time it notify the claimant within 21 days of the proofs of loss with the reasons, then write again 45 days from that notification and every 45 days after it. The trigger matters as much as the number, and adopting states change both, so set the date against your own state's text rather than the model's. Where your state requires a department of insurance notice on claim correspondence, it goes here.</w:t>
      </w:r>
    </w:p>
    <w:p>
      <w:pPr>
        <w:spacing w:after="120"/>
      </w:pPr>
      <w:r>
        <w:t xml:space="preserve">Adjuster and direct line: </w:t>
      </w:r>
      <w:r>
        <w:rPr>
          <w:highlight w:val="yellow"/>
          <w:highlightCs w:val="yellow"/>
        </w:rPr>
        <w:t xml:space="preserve">[ ______________________ ]</w:t>
      </w:r>
    </w:p>
    <w:p>
      <w:pPr>
        <w:spacing w:after="120"/>
      </w:pPr>
      <w:r>
        <w:t xml:space="preserve">Next status date: </w:t>
      </w:r>
      <w:r>
        <w:rPr>
          <w:highlight w:val="yellow"/>
          <w:highlightCs w:val="yellow"/>
        </w:rPr>
        <w:t xml:space="preserve">[ ______________________ ]</w:t>
      </w:r>
    </w:p>
    <w:p>
      <w:pPr>
        <w:spacing w:after="120"/>
      </w:pPr>
      <w:r>
        <w:rPr>
          <w:highlight w:val="yellow"/>
          <w:highlightCs w:val="yellow"/>
        </w:rPr>
        <w:t xml:space="preserve">[&lt;Adjuster name, title, direct telephone, email&gt;. We will write again with a status update no later than &lt;date&gt;. &lt;State-required department of insurance notice, if applicable.&gt;]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water loss at a single-family dwelling where the cause of the failure is established but the duration of the release is not, and the duration is what the engaged exclusion turns on. The letter reserves on that point and leaves it open.</w:t>
      </w:r>
    </w:p>
    <w:p/>
    <w:p>
      <w:pPr>
        <w:pStyle w:val="Heading2"/>
      </w:pPr>
      <w:r>
        <w:t xml:space="preserve">Identifiers and date</w:t>
      </w:r>
    </w:p>
    <w:p>
      <w:pPr>
        <w:spacing w:after="120"/>
      </w:pPr>
      <w:r>
        <w:t xml:space="preserve">22 July 2026</w:t>
      </w:r>
    </w:p>
    <w:p/>
    <w:p>
      <w:pPr>
        <w:spacing w:after="120"/>
      </w:pPr>
      <w:r>
        <w:t xml:space="preserve">Mr D. Okonjo</w:t>
      </w:r>
    </w:p>
    <w:p>
      <w:pPr>
        <w:spacing w:after="120"/>
      </w:pPr>
      <w:r>
        <w:t xml:space="preserve">118 Harbour Lane</w:t>
      </w:r>
    </w:p>
    <w:p/>
    <w:p>
      <w:pPr>
        <w:spacing w:after="120"/>
      </w:pPr>
      <w:r>
        <w:t xml:space="preserve">RE: Claim no. PC-2026-11482</w:t>
      </w:r>
    </w:p>
    <w:p>
      <w:pPr>
        <w:spacing w:after="120"/>
      </w:pPr>
      <w:r>
        <w:t xml:space="preserve">Policy no. HO-4471903, term 1 March 2026 to 1 March 2027</w:t>
      </w:r>
    </w:p>
    <w:p>
      <w:pPr>
        <w:spacing w:after="120"/>
      </w:pPr>
      <w:r>
        <w:t xml:space="preserve">Date of loss: reported 14 July 2026</w:t>
      </w:r>
    </w:p>
    <w:p>
      <w:pPr>
        <w:spacing w:after="120"/>
      </w:pPr>
      <w:r>
        <w:t xml:space="preserve">Loss location: 118 Harbour Lane</w:t>
      </w:r>
    </w:p>
    <w:p/>
    <w:p>
      <w:pPr>
        <w:pStyle w:val="Heading2"/>
      </w:pPr>
      <w:r>
        <w:t xml:space="preserve">Purpose of this letter</w:t>
      </w:r>
    </w:p>
    <w:p>
      <w:pPr>
        <w:spacing w:after="120"/>
      </w:pPr>
      <w:r>
        <w:t xml:space="preserve">This letter is to advise you that we are continuing to investigate your claim and that one question under your policy remains open. This is not a denial of your claim, and it is not an agreement to pay it. We are continuing to adjust the loss while that question is investigated, and doing so does not mean we have accepted or rejected any part of it.</w:t>
      </w:r>
    </w:p>
    <w:p/>
    <w:p>
      <w:pPr>
        <w:pStyle w:val="Heading2"/>
      </w:pPr>
      <w:r>
        <w:t xml:space="preserve">Facts as presently known</w:t>
      </w:r>
    </w:p>
    <w:p>
      <w:pPr>
        <w:spacing w:after="120"/>
      </w:pPr>
      <w:r>
        <w:t xml:space="preserve">1. You reported the loss on 14 July 2026 and told us on that date that you discovered standing water at approximately 07:15 that morning.</w:t>
      </w:r>
    </w:p>
    <w:p/>
    <w:p>
      <w:pPr>
        <w:spacing w:after="120"/>
      </w:pPr>
      <w:r>
        <w:t xml:space="preserve">2. You told us on 15 July 2026 that the dwelling was last occupied at approximately 18:00 on Friday 11 July 2026, and that you were out of state from 15 to 17 July.</w:t>
      </w:r>
    </w:p>
    <w:p/>
    <w:p>
      <w:pPr>
        <w:spacing w:after="120"/>
      </w:pPr>
      <w:r>
        <w:t xml:space="preserve">3. On 18 July 2026 the writer inspected the dwelling. The braided stainless supply line serving the water heater had separated at the crimped fitting at the heater end. The fitting and the adjacent length of line were retained by us that day, tagged, and photographed.</w:t>
      </w:r>
    </w:p>
    <w:p/>
    <w:p>
      <w:pPr>
        <w:spacing w:after="120"/>
      </w:pPr>
      <w:r>
        <w:t xml:space="preserve">4. On 18 July 2026 the writer recorded moisture readings on the slab with a Delmhorst BD-2100 on the wood scale, at 4, 8, 12 and 16 feet from the utility closet: 18.4%, 16.1%, 14.8% and 11.2%. A baseline reading taken in the far bedroom, approximately 40 feet from the closet, was 9.6%.</w:t>
      </w:r>
    </w:p>
    <w:p/>
    <w:p>
      <w:pPr>
        <w:spacing w:after="120"/>
      </w:pPr>
      <w:r>
        <w:t xml:space="preserve">5. Drywall was wet to approximately 14 inches above slab along 31 linear feet of the south and west walls of the hallway and living room. Fourteen cartons of stored books in the hallway closet were water-stained. The detached garage and the bedrooms were unaffected, and the dwelling has remained habitable.</w:t>
      </w:r>
    </w:p>
    <w:p/>
    <w:p>
      <w:pPr>
        <w:spacing w:after="120"/>
      </w:pPr>
      <w:r>
        <w:t xml:space="preserve">6. You provided a copy of invoice 20941 from Feldstrom Plumbing, dated 3 August 2025, for replacement of the water heater eleven months before this loss.</w:t>
      </w:r>
    </w:p>
    <w:p/>
    <w:p>
      <w:pPr>
        <w:pStyle w:val="Heading2"/>
      </w:pPr>
      <w:r>
        <w:t xml:space="preserve">Facts not yet established</w:t>
      </w:r>
    </w:p>
    <w:p>
      <w:pPr>
        <w:spacing w:after="120"/>
      </w:pPr>
      <w:r>
        <w:t xml:space="preserve">The length of time water was escaping from the fitting has not been determined, and we do not presently expect to determine it from the physical evidence alone.</w:t>
      </w:r>
    </w:p>
    <w:p/>
    <w:p>
      <w:pPr>
        <w:spacing w:after="120"/>
      </w:pPr>
      <w:r>
        <w:t xml:space="preserve">The interval between last occupancy on 11 July and discovery on 14 July is approximately 61 hours, but that is an outer bound and not a measurement. The moisture gradient recorded on 18 July is consistent with a release lasting many hours; it does not distinguish a release of twelve hours from one of sixty.</w:t>
      </w:r>
    </w:p>
    <w:p/>
    <w:p>
      <w:pPr>
        <w:spacing w:after="120"/>
      </w:pPr>
      <w:r>
        <w:t xml:space="preserve">We have looked for a record that would fix the duration. There is no water sub-meter at the property. Municipal supply is billed quarterly and the next meter read is due in September, so the consumption record will not isolate the period. There is no leak alarm and no occupancy log. If you hold any record we have not seen — a smart-home or utility app history, a security system entry log, or any observation by a neighbor or visitor between 11 and 14 July — please tell us, because it bears directly on the question below.</w:t>
      </w:r>
    </w:p>
    <w:p/>
    <w:p>
      <w:pPr>
        <w:pStyle w:val="Heading2"/>
      </w:pPr>
      <w:r>
        <w:t xml:space="preserve">Policy provisions under which rights are reserved</w:t>
      </w:r>
    </w:p>
    <w:p>
      <w:pPr>
        <w:spacing w:after="120"/>
      </w:pPr>
      <w:r>
        <w:t xml:space="preserve">Form HO-3, Section I - Exclusions, provides in relevant part that we do not insure for loss caused by constant or repeated seepage or leakage of water, or the presence or condensation of humidity, moisture or vapor, over a period of weeks, months or years, from within a plumbing, heating, air conditioning or automatic fire protective sprinkler system or from within a household appliance.</w:t>
      </w:r>
    </w:p>
    <w:p/>
    <w:p>
      <w:pPr>
        <w:spacing w:after="120"/>
      </w:pPr>
      <w:r>
        <w:t xml:space="preserve">Form HO-3, Section I - Conditions, Your Duties After Loss, provides that you must give us prompt notice, protect the property from further damage, prepare an inventory of damaged personal property, and, as often as we reasonably require, show us the damaged property and provide records and documents we request.</w:t>
      </w:r>
    </w:p>
    <w:p/>
    <w:p>
      <w:pPr>
        <w:spacing w:after="120"/>
      </w:pPr>
      <w:r>
        <w:t xml:space="preserve">No other exclusion is being reserved upon. We are not raising the earth movement, wear and tear, or neglect provisions of your policy, and nothing in this letter should be read as doing so.</w:t>
      </w:r>
    </w:p>
    <w:p/>
    <w:p>
      <w:pPr>
        <w:pStyle w:val="Heading2"/>
      </w:pPr>
      <w:r>
        <w:t xml:space="preserve">How the provisions relate to these facts</w:t>
      </w:r>
    </w:p>
    <w:p>
      <w:pPr>
        <w:spacing w:after="120"/>
      </w:pPr>
      <w:r>
        <w:t xml:space="preserve">The seepage and leakage provision is engaged by facts 1, 2 and 4 taken together. The provision is written in terms of a period of weeks, months or years, and the question it raises here is a factual one: for how long was water escaping from the fitting. Our present information sets an outer bound of roughly 61 hours from your last occupancy, and the moisture readings do not narrow it further. We are recording that as undetermined rather than estimating it, and we are reserving on the provision for that reason and no other.</w:t>
      </w:r>
    </w:p>
    <w:p/>
    <w:p>
      <w:pPr>
        <w:spacing w:after="120"/>
      </w:pPr>
      <w:r>
        <w:t xml:space="preserve">The Your Duties After Loss condition is engaged by the outstanding inventory pricing for the fourteen cartons of books, requested on 18 July and not yet received. We raise it here because it is outstanding, not because we consider your cooperation to be in question.</w:t>
      </w:r>
    </w:p>
    <w:p/>
    <w:p>
      <w:pPr>
        <w:pStyle w:val="Heading2"/>
      </w:pPr>
      <w:r>
        <w:t xml:space="preserve">Rights reserved and obligations continuing</w:t>
      </w:r>
    </w:p>
    <w:p>
      <w:pPr>
        <w:spacing w:after="120"/>
      </w:pPr>
      <w:r>
        <w:t xml:space="preserve">We reserve all rights and defenses available under the two provisions quoted above and under the policy as a whole. Our continuing investigation, our inspection of 18 July, our retention of the failed components, and any payment we may make on undisputed portions of this loss are not a waiver of any of those rights.</w:t>
      </w:r>
    </w:p>
    <w:p/>
    <w:p>
      <w:pPr>
        <w:spacing w:after="120"/>
      </w:pPr>
      <w:r>
        <w:t xml:space="preserve">Your duties after loss under Section I - Conditions continue, including the duty to protect the property from further damage and to provide the records described below.</w:t>
      </w:r>
    </w:p>
    <w:p/>
    <w:p>
      <w:pPr>
        <w:pStyle w:val="Heading2"/>
      </w:pPr>
      <w:r>
        <w:t xml:space="preserve">Information requested, with dates</w:t>
      </w:r>
    </w:p>
    <w:p>
      <w:pPr>
        <w:spacing w:after="120"/>
      </w:pPr>
      <w:r>
        <w:t xml:space="preserve">1. Pricing for the contents inventory you provided on 18 July 2026. Requested 18 July, reminder 21 July. Please provide by 5 August 2026.</w:t>
      </w:r>
    </w:p>
    <w:p/>
    <w:p>
      <w:pPr>
        <w:spacing w:after="120"/>
      </w:pPr>
      <w:r>
        <w:t xml:space="preserve">2. A legible copy of Feldstrom Plumbing invoice 20941. The copy you supplied is not legible at the line-item detail. Requested 18 July 2026.</w:t>
      </w:r>
    </w:p>
    <w:p/>
    <w:p>
      <w:pPr>
        <w:spacing w:after="120"/>
      </w:pPr>
      <w:r>
        <w:t xml:space="preserve">3. Any record bearing on the period 11 to 14 July 2026, as described above. Requested for the first time in this letter.</w:t>
      </w:r>
    </w:p>
    <w:p/>
    <w:p>
      <w:pPr>
        <w:spacing w:after="120"/>
      </w:pPr>
      <w:r>
        <w:t xml:space="preserve">If any of these cannot be obtained, please tell us that rather than leaving the request open, and we will proceed on what is available.</w:t>
      </w:r>
    </w:p>
    <w:p/>
    <w:p>
      <w:pPr>
        <w:pStyle w:val="Heading2"/>
      </w:pPr>
      <w:r>
        <w:t xml:space="preserve">Next contact and how to reach us</w:t>
      </w:r>
    </w:p>
    <w:p>
      <w:pPr>
        <w:spacing w:after="120"/>
      </w:pPr>
      <w:r>
        <w:t xml:space="preserve">R. Calloway, field adjuster, direct line and email as shown above. The examiner assigned to your claim is C. Mendez.</w:t>
      </w:r>
    </w:p>
    <w:p/>
    <w:p>
      <w:pPr>
        <w:spacing w:after="120"/>
      </w:pPr>
      <w:r>
        <w:t xml:space="preserve">We will write to you again with a status update no later than 5 September 2026, or sooner if the outstanding items are received before then. If you would prefer to discuss any of this by telephone, call the direct line and ask for the writer by name.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claims.professionaldrafter.com/coverage-and-position/reservation-of-rights/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Reservation of Rights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Reservation of Rights Letter Template &amp; Example</dc:title>
  <dc:creator>Adjuster Report Library</dc:creator>
  <dc:description>A reservation of rights letter template with a filled-in example tied to specific facts, plus a section-by-section guide. Free Word download, no signup.</dc:description>
  <cp:lastModifiedBy>Un-named</cp:lastModifiedBy>
  <cp:revision>1</cp:revision>
  <dcterms:created xsi:type="dcterms:W3CDTF">2026-10-13T13:35:08.770Z</dcterms:created>
  <dcterms:modified xsi:type="dcterms:W3CDTF">2026-10-13T13:35:08.770Z</dcterms:modified>
</cp:coreProperties>
</file>

<file path=docProps/custom.xml><?xml version="1.0" encoding="utf-8"?>
<Properties xmlns="http://schemas.openxmlformats.org/officeDocument/2006/custom-properties" xmlns:vt="http://schemas.openxmlformats.org/officeDocument/2006/docPropsVTypes"/>
</file>