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Salvage Report</w:t>
      </w:r>
    </w:p>
    <w:p>
      <w:pPr>
        <w:spacing w:after="120"/>
      </w:pPr>
      <w:r>
        <w:rPr>
          <w:i/>
          <w:iCs/>
          <w:sz w:val="20"/>
          <w:szCs w:val="20"/>
        </w:rPr>
        <w:t xml:space="preserve">Fillable template. Everything highlighted in yellow is yours to replace — 15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claims.professionaldrafter.com/recovery/salvage-report/</w:t>
      </w:r>
    </w:p>
    <w:p/>
    <w:p>
      <w:pPr>
        <w:pStyle w:val="Heading2"/>
      </w:pPr>
      <w:r>
        <w:t xml:space="preserve">Claim identification</w:t>
      </w:r>
    </w:p>
    <w:p>
      <w:pPr>
        <w:spacing w:after="120"/>
      </w:pPr>
      <w:r>
        <w:rPr>
          <w:i/>
          <w:iCs/>
          <w:sz w:val="18"/>
          <w:szCs w:val="18"/>
        </w:rPr>
        <w:t xml:space="preserve">The identifiers, the coverage the property sits under, and the adjuster and examiner. Salvage entries get read out of file context, by an accounts team applying proceeds, by an auditor sampling recoveries — so the header carries the claim number and the coverage without which the entry cannot be posted.</w:t>
      </w:r>
    </w:p>
    <w:p>
      <w:pPr>
        <w:spacing w:after="120"/>
      </w:pPr>
      <w:r>
        <w:t xml:space="preserve">Claim number: </w:t>
      </w:r>
      <w:r>
        <w:rPr>
          <w:highlight w:val="yellow"/>
          <w:highlightCs w:val="yellow"/>
        </w:rPr>
        <w:t xml:space="preserve">[ ______________________ ]</w:t>
      </w:r>
    </w:p>
    <w:p>
      <w:pPr>
        <w:spacing w:after="120"/>
      </w:pPr>
      <w:r>
        <w:t xml:space="preserve">Coverage: Dwelling, other structures or UPP</w:t>
      </w:r>
    </w:p>
    <w:p>
      <w:pPr>
        <w:spacing w:after="120"/>
      </w:pPr>
      <w:r>
        <w:rPr>
          <w:highlight w:val="yellow"/>
          <w:highlightCs w:val="yellow"/>
        </w:rPr>
        <w:t xml:space="preserve">[Claim number, policy number, insured, risk address, date of loss, peril, coverage under which the property falls, adjuster, examiner]</w:t>
      </w:r>
    </w:p>
    <w:p/>
    <w:p>
      <w:pPr>
        <w:pStyle w:val="Heading2"/>
      </w:pPr>
      <w:r>
        <w:t xml:space="preserve">Property considered for salvage</w:t>
      </w:r>
    </w:p>
    <w:p>
      <w:pPr>
        <w:spacing w:after="120"/>
      </w:pPr>
      <w:r>
        <w:rPr>
          <w:i/>
          <w:iCs/>
          <w:sz w:val="18"/>
          <w:szCs w:val="18"/>
        </w:rPr>
        <w:t xml:space="preserve">List what you looked at, not only what has value. This is the section that makes a nil return defensible: an itemized list with a condition and a disposition against each shows a reviewer that the question was worked rather than waved away. Quantities and locations, in the same order as the scope, so the two documents can be read side by side.</w:t>
      </w:r>
    </w:p>
    <w:p>
      <w:pPr>
        <w:spacing w:after="120"/>
      </w:pPr>
      <w:r>
        <w:rPr>
          <w:highlight w:val="yellow"/>
          <w:highlightCs w:val="yellow"/>
        </w:rPr>
        <w:t xml:space="preserve">[Item, quantity, location, condition observed, whether any residual value is identified]</w:t>
      </w:r>
    </w:p>
    <w:p>
      <w:pPr>
        <w:pStyle w:val="ListParagraph"/>
        <w:numPr>
          <w:ilvl w:val="0"/>
          <w:numId w:val="1"/>
        </w:numPr>
        <w:spacing w:after="80"/>
      </w:pPr>
      <w:r>
        <w:t xml:space="preserve">Item and quantity</w:t>
      </w:r>
    </w:p>
    <w:p>
      <w:pPr>
        <w:pStyle w:val="ListParagraph"/>
        <w:numPr>
          <w:ilvl w:val="0"/>
          <w:numId w:val="1"/>
        </w:numPr>
        <w:spacing w:after="80"/>
      </w:pPr>
      <w:r>
        <w:t xml:space="preserve">Where it was and where it is now</w:t>
      </w:r>
    </w:p>
    <w:p>
      <w:pPr>
        <w:pStyle w:val="ListParagraph"/>
        <w:numPr>
          <w:ilvl w:val="0"/>
          <w:numId w:val="1"/>
        </w:numPr>
        <w:spacing w:after="80"/>
      </w:pPr>
      <w:r>
        <w:t xml:space="preserve">Condition observed at inspection</w:t>
      </w:r>
    </w:p>
    <w:p>
      <w:pPr>
        <w:pStyle w:val="ListParagraph"/>
        <w:numPr>
          <w:ilvl w:val="0"/>
          <w:numId w:val="1"/>
        </w:numPr>
        <w:spacing w:after="80"/>
      </w:pPr>
      <w:r>
        <w:t xml:space="preserve">Residual value identified, or nil and why</w:t>
      </w:r>
    </w:p>
    <w:p/>
    <w:p>
      <w:pPr>
        <w:pStyle w:val="Heading2"/>
      </w:pPr>
      <w:r>
        <w:t xml:space="preserve">Valuation basis</w:t>
      </w:r>
    </w:p>
    <w:p>
      <w:pPr>
        <w:spacing w:after="120"/>
      </w:pPr>
      <w:r>
        <w:rPr>
          <w:i/>
          <w:iCs/>
          <w:sz w:val="18"/>
          <w:szCs w:val="18"/>
        </w:rPr>
        <w:t xml:space="preserve">How the value was arrived at: a vendor's indication, an observed market for the item, or a judgement that the cost of removal and handling exceeds anything recoverable. Say which. "No value" reached by looking at an item is a different entry from "no value" reached because a vendor declined it, and the second is stronger.</w:t>
      </w:r>
    </w:p>
    <w:p>
      <w:pPr>
        <w:spacing w:after="120"/>
      </w:pPr>
      <w:r>
        <w:rPr>
          <w:highlight w:val="yellow"/>
          <w:highlightCs w:val="yellow"/>
        </w:rPr>
        <w:t xml:space="preserve">[Method of valuation; who provided any figure and on what date; where the cost of recovery is judged to exceed the return, the basis for that judgement]</w:t>
      </w:r>
    </w:p>
    <w:p/>
    <w:p>
      <w:pPr>
        <w:pStyle w:val="Heading2"/>
      </w:pPr>
      <w:r>
        <w:t xml:space="preserve">Permission and authorization</w:t>
      </w:r>
    </w:p>
    <w:p>
      <w:pPr>
        <w:spacing w:after="120"/>
      </w:pPr>
      <w:r>
        <w:rPr>
          <w:i/>
          <w:iCs/>
          <w:sz w:val="18"/>
          <w:szCs w:val="18"/>
        </w:rPr>
        <w:t xml:space="preserve">Secure permission before employing any salvage vendor, and record it here: who authorized it, on what date, by what method. Two permissions can be in play — the examiner's authority to incur the expense, and the insured's agreement to property leaving the premises where the property has not yet been paid for. Record whichever apply. Note also that the standard fire policy enacted by statute in several states says, in terms, "There can be no abandonment to this Company of any property." That is why the insured's position on property not yet paid for is a live question rather than a formality. What the form on your file says may differ; read it.</w:t>
      </w:r>
    </w:p>
    <w:p>
      <w:pPr>
        <w:spacing w:after="120"/>
      </w:pPr>
      <w:r>
        <w:t xml:space="preserve">Authorized by: </w:t>
      </w:r>
      <w:r>
        <w:rPr>
          <w:highlight w:val="yellow"/>
          <w:highlightCs w:val="yellow"/>
        </w:rPr>
        <w:t xml:space="preserve">[ ______________________ ]</w:t>
      </w:r>
    </w:p>
    <w:p>
      <w:pPr>
        <w:spacing w:after="120"/>
      </w:pPr>
      <w:r>
        <w:t xml:space="preserve">Date of authorization: </w:t>
      </w:r>
      <w:r>
        <w:rPr>
          <w:highlight w:val="yellow"/>
          <w:highlightCs w:val="yellow"/>
        </w:rPr>
        <w:t xml:space="preserve">[ ______________________ ]</w:t>
      </w:r>
    </w:p>
    <w:p>
      <w:pPr>
        <w:spacing w:after="120"/>
      </w:pPr>
      <w:r>
        <w:rPr>
          <w:highlight w:val="yellow"/>
          <w:highlightCs w:val="yellow"/>
        </w:rPr>
        <w:t xml:space="preserve">[Examiner authorization: name, date, method. Insured's agreement: date and how obtained. Any property the insured wishes to retain, and whether an allowance has been discussed]</w:t>
      </w:r>
    </w:p>
    <w:p/>
    <w:p>
      <w:pPr>
        <w:pStyle w:val="Heading2"/>
      </w:pPr>
      <w:r>
        <w:t xml:space="preserve">Vendor engaged</w:t>
      </w:r>
    </w:p>
    <w:p>
      <w:pPr>
        <w:spacing w:after="120"/>
      </w:pPr>
      <w:r>
        <w:rPr>
          <w:i/>
          <w:iCs/>
          <w:sz w:val="18"/>
          <w:szCs w:val="18"/>
        </w:rPr>
        <w:t xml:space="preserve">Name, contact, the date instructed, what they were instructed to remove, and the basis of their charges. If no vendor has been engaged, say that and say why. A vendor not engaged because nothing warranted one is an answer; a vendor not engaged because nobody got round to it is a gap.</w:t>
      </w:r>
    </w:p>
    <w:p>
      <w:pPr>
        <w:spacing w:after="120"/>
      </w:pPr>
      <w:r>
        <w:rPr>
          <w:highlight w:val="yellow"/>
          <w:highlightCs w:val="yellow"/>
        </w:rPr>
        <w:t xml:space="preserve">[Vendor name and contact; date instructed; scope of the instruction; charging basis; collection date; if no vendor engaged, the reason]</w:t>
      </w:r>
    </w:p>
    <w:p/>
    <w:p>
      <w:pPr>
        <w:pStyle w:val="Heading2"/>
      </w:pPr>
      <w:r>
        <w:t xml:space="preserve">Evidence hold</w:t>
      </w:r>
    </w:p>
    <w:p>
      <w:pPr>
        <w:spacing w:after="120"/>
      </w:pPr>
      <w:r>
        <w:rPr>
          <w:i/>
          <w:iCs/>
          <w:sz w:val="18"/>
          <w:szCs w:val="18"/>
        </w:rPr>
        <w:t xml:space="preserve">Anything that must not be disposed of, and why. On a file with a recovery theory this section outranks the rest of the document: a component retained for examination is evidence, and a salvage instruction that sweeps it up destroys the recovery. Identify the item by its tag, name the person who placed the hold, and give the date it can be released or say that it is open-ended.</w:t>
      </w:r>
    </w:p>
    <w:p>
      <w:pPr>
        <w:spacing w:after="120"/>
      </w:pPr>
      <w:r>
        <w:rPr>
          <w:highlight w:val="yellow"/>
          <w:highlightCs w:val="yellow"/>
        </w:rPr>
        <w:t xml:space="preserve">[Items under hold, with tag numbers; who placed the hold and when; the reason; the release date or a note that it is open-ended; where the item is stored]</w:t>
      </w:r>
    </w:p>
    <w:p/>
    <w:p>
      <w:pPr>
        <w:pStyle w:val="Heading2"/>
      </w:pPr>
      <w:r>
        <w:t xml:space="preserve">Disposition and proceeds</w:t>
      </w:r>
    </w:p>
    <w:p>
      <w:pPr>
        <w:spacing w:after="120"/>
      </w:pPr>
      <w:r>
        <w:rPr>
          <w:i/>
          <w:iCs/>
          <w:sz w:val="18"/>
          <w:szCs w:val="18"/>
        </w:rPr>
        <w:t xml:space="preserve">What happened to each item: sold, scrapped, retained by the insured, held. Where proceeds were received, the gross figure, the vendor's charges, the net, and the date. Where the insured retains an item that has been paid for, record the allowance so the settlement reconciles without anyone reconstructing it later.</w:t>
      </w:r>
    </w:p>
    <w:p>
      <w:pPr>
        <w:spacing w:after="120"/>
      </w:pPr>
      <w:r>
        <w:t xml:space="preserve">Gross proceeds: </w:t>
      </w:r>
      <w:r>
        <w:rPr>
          <w:highlight w:val="yellow"/>
          <w:highlightCs w:val="yellow"/>
        </w:rPr>
        <w:t xml:space="preserve">[ ______________________ ]</w:t>
      </w:r>
    </w:p>
    <w:p>
      <w:pPr>
        <w:spacing w:after="120"/>
      </w:pPr>
      <w:r>
        <w:t xml:space="preserve">Net proceeds: </w:t>
      </w:r>
      <w:r>
        <w:rPr>
          <w:highlight w:val="yellow"/>
          <w:highlightCs w:val="yellow"/>
        </w:rPr>
        <w:t xml:space="preserve">[ ______________________ ]</w:t>
      </w:r>
    </w:p>
    <w:p>
      <w:pPr>
        <w:spacing w:after="120"/>
      </w:pPr>
      <w:r>
        <w:rPr>
          <w:highlight w:val="yellow"/>
          <w:highlightCs w:val="yellow"/>
        </w:rPr>
        <w:t xml:space="preserve">[Disposition per item; gross proceeds; vendor charges; net proceeds and date received; any allowance made for property retained by the insured]</w:t>
      </w:r>
    </w:p>
    <w:p/>
    <w:p>
      <w:pPr>
        <w:pStyle w:val="Heading2"/>
      </w:pPr>
      <w:r>
        <w:t xml:space="preserve">Application to the claim</w:t>
      </w:r>
    </w:p>
    <w:p>
      <w:pPr>
        <w:spacing w:after="120"/>
      </w:pPr>
      <w:r>
        <w:rPr>
          <w:i/>
          <w:iCs/>
          <w:sz w:val="18"/>
          <w:szCs w:val="18"/>
        </w:rPr>
        <w:t xml:space="preserve">Where the net proceeds are applied and what effect they have on the reserve. Keep this to arithmetic that can be traced. Recoveries that arrive after a file is closed cause more reconciliation work than they are worth, so state the expected timing as well as the amount.</w:t>
      </w:r>
    </w:p>
    <w:p>
      <w:pPr>
        <w:spacing w:after="120"/>
      </w:pPr>
      <w:r>
        <w:rPr>
          <w:highlight w:val="yellow"/>
          <w:highlightCs w:val="yellow"/>
        </w:rPr>
        <w:t xml:space="preserve">[Amount applied and to which coverage; effect on the outstanding reserve; expected date of receipt if proceeds are still awaited]</w:t>
      </w:r>
    </w:p>
    <w:p/>
    <w:p>
      <w:pPr>
        <w:pStyle w:val="Heading2"/>
      </w:pPr>
      <w:r>
        <w:t xml:space="preserve">Closing entry</w:t>
      </w:r>
    </w:p>
    <w:p>
      <w:pPr>
        <w:spacing w:after="120"/>
      </w:pPr>
      <w:r>
        <w:rPr>
          <w:i/>
          <w:iCs/>
          <w:sz w:val="18"/>
          <w:szCs w:val="18"/>
        </w:rPr>
        <w:t xml:space="preserve">One paragraph a reviewer can read alone: the position on salvage for this claim, and nothing outstanding, or what is outstanding, with an owner and a date. On a nil return, this is the paragraph that gets quoted, so write it as a conclusion supported by the list above rather than as an assertion.</w:t>
      </w:r>
    </w:p>
    <w:p>
      <w:pPr>
        <w:spacing w:after="120"/>
      </w:pPr>
      <w:r>
        <w:rPr>
          <w:highlight w:val="yellow"/>
          <w:highlightCs w:val="yellow"/>
        </w:rPr>
        <w:t xml:space="preserve">[The salvage position in summary; anything outstanding with owner and target date; date of this report and preparer]</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Harbour Lane water loss, where nothing recovered has resale value. The example is the nil return written properly, and it leaves one item open — the water heater still in service at the risk, which may be wanted for a recovery examination and is under nobody's hold.</w:t>
      </w:r>
    </w:p>
    <w:p/>
    <w:p>
      <w:pPr>
        <w:pStyle w:val="Heading2"/>
      </w:pPr>
      <w:r>
        <w:t xml:space="preserve">Claim identification</w:t>
      </w:r>
    </w:p>
    <w:p>
      <w:pPr>
        <w:spacing w:after="120"/>
      </w:pPr>
      <w:r>
        <w:t xml:space="preserve">Claim PC-2026-11482. Policy HO-4471903, term 1 March 2026 to 1 March 2027.</w:t>
      </w:r>
    </w:p>
    <w:p>
      <w:pPr>
        <w:spacing w:after="120"/>
      </w:pPr>
      <w:r>
        <w:t xml:space="preserve">Insured: D. Okonjo, 118 Harbour Lane. Single-family dwelling, owner-occupied.</w:t>
      </w:r>
    </w:p>
    <w:p>
      <w:pPr>
        <w:spacing w:after="120"/>
      </w:pPr>
      <w:r>
        <w:t xml:space="preserve">Date of loss: reported 14 July 2026, discovered approximately 07:15. Peril: water, non-weather.</w:t>
      </w:r>
    </w:p>
    <w:p>
      <w:pPr>
        <w:spacing w:after="120"/>
      </w:pPr>
      <w:r>
        <w:t xml:space="preserve">Property considered falls under dwelling coverage and unscheduled personal property.</w:t>
      </w:r>
    </w:p>
    <w:p>
      <w:pPr>
        <w:spacing w:after="120"/>
      </w:pPr>
      <w:r>
        <w:t xml:space="preserve">Adjuster: R. Calloway. Examiner: C. Mendez. Report prepared 3 August 2026.</w:t>
      </w:r>
    </w:p>
    <w:p/>
    <w:p>
      <w:pPr>
        <w:pStyle w:val="Heading2"/>
      </w:pPr>
      <w:r>
        <w:t xml:space="preserve">Property considered for salvage</w:t>
      </w:r>
    </w:p>
    <w:p>
      <w:pPr>
        <w:spacing w:after="120"/>
      </w:pPr>
      <w:r>
        <w:t xml:space="preserve">1. Stored books, 14 cartons. Location at loss: floor of the hallway closet. Now: retained by the insured in the garage, boxed. Condition at inspection on 18 July: water-stained to varying heights, several cartons with pages fused at the block, all showing surface mould growth on examination. Residual value: nil.</w:t>
      </w:r>
    </w:p>
    <w:p/>
    <w:p>
      <w:pPr>
        <w:spacing w:after="120"/>
      </w:pPr>
      <w:r>
        <w:t xml:space="preserve">2. Drywall, base trim and closet shelving, 31 linear feet of affected wall run. Removed by the insured's mitigation contractor. Condition: cut to 24 inches above slab and disposed of as construction debris on 21 July. Residual value: nil, and none is available in this material.</w:t>
      </w:r>
    </w:p>
    <w:p/>
    <w:p>
      <w:pPr>
        <w:spacing w:after="120"/>
      </w:pPr>
      <w:r>
        <w:t xml:space="preserve">3. Braided stainless supply line and crimped fitting, one assembly. Removed by the adjuster at inspection on 18 July, tagged PC-11482-A. Condition: separated at the fitting, otherwise intact. Residual value: nil as scrap. See the evidence hold below, which is the reason it is on this list at all.</w:t>
      </w:r>
    </w:p>
    <w:p/>
    <w:p>
      <w:pPr>
        <w:spacing w:after="120"/>
      </w:pPr>
      <w:r>
        <w:t xml:space="preserve">4. Water heater, one unit, installed August 2025. Location: utility closet, still connected and in service. Condition: undamaged by the loss and functioning. Not claimed, not replaced, no salvage arises. Listed because a question sits over it, recorded under the evidence hold.</w:t>
      </w:r>
    </w:p>
    <w:p/>
    <w:p>
      <w:pPr>
        <w:spacing w:after="120"/>
      </w:pPr>
      <w:r>
        <w:t xml:space="preserve">5. Contents on the closet racking, six inches above slab. Dry, undamaged, not part of the claim. Listed for completeness so it is clear what was examined.</w:t>
      </w:r>
    </w:p>
    <w:p/>
    <w:p>
      <w:pPr>
        <w:pStyle w:val="Heading2"/>
      </w:pPr>
      <w:r>
        <w:t xml:space="preserve">Valuation basis</w:t>
      </w:r>
    </w:p>
    <w:p>
      <w:pPr>
        <w:spacing w:after="120"/>
      </w:pPr>
      <w:r>
        <w:t xml:space="preserve">Items 1 to 3 were valued by inspection rather than by a vendor indication, and I judge that the cost of collection and handling would exceed anything recoverable on any of them.</w:t>
      </w:r>
    </w:p>
    <w:p/>
    <w:p>
      <w:pPr>
        <w:spacing w:after="120"/>
      </w:pPr>
      <w:r>
        <w:t xml:space="preserve">On the books specifically: a salvage vendor indication was not sought. Water-damaged general-interest paperbacks and book-club hardbacks with visible mould are not a market anyone collects, and I would have been asking a vendor to attend, sort and cart fourteen cartons for a return I would expect to be nil before their charges. I record that as a judgement rather than a quotation so that a reviewer knows exactly what stands behind it. No first editions, signed copies or technical sets were present; I went through the cartons individually and photographed them, images 30 to 44.</w:t>
      </w:r>
    </w:p>
    <w:p/>
    <w:p>
      <w:pPr>
        <w:spacing w:after="120"/>
      </w:pPr>
      <w:r>
        <w:t xml:space="preserve">On the drywall and trim: construction debris of this kind has no salvage market. No basis is offered because none exists.</w:t>
      </w:r>
    </w:p>
    <w:p/>
    <w:p>
      <w:pPr>
        <w:spacing w:after="120"/>
      </w:pPr>
      <w:r>
        <w:t xml:space="preserve">On the supply line assembly: scrap stainless in this quantity is worth nothing, and its value to the file is evidential.</w:t>
      </w:r>
    </w:p>
    <w:p/>
    <w:p>
      <w:pPr>
        <w:pStyle w:val="Heading2"/>
      </w:pPr>
      <w:r>
        <w:t xml:space="preserve">Permission and authorization</w:t>
      </w:r>
    </w:p>
    <w:p>
      <w:pPr>
        <w:spacing w:after="120"/>
      </w:pPr>
      <w:r>
        <w:t xml:space="preserve">No salvage vendor has been engaged, so no expense authorization was sought from the examiner. Recorded so it is clear that the sequence was not reversed: nothing was instructed and then reported.</w:t>
      </w:r>
    </w:p>
    <w:p/>
    <w:p>
      <w:pPr>
        <w:spacing w:after="120"/>
      </w:pPr>
      <w:r>
        <w:t xml:space="preserve">The insured's position on the books was taken at inspection on 18 July and confirmed by telephone on 22 July. He was asked to retain the cartons pending disposition and has agreed; he has moved them to the garage. He has not asked to keep them and has no objection to disposal once the contents element is priced and settled. Nothing has left the premises.</w:t>
      </w:r>
    </w:p>
    <w:p/>
    <w:p>
      <w:pPr>
        <w:spacing w:after="120"/>
      </w:pPr>
      <w:r>
        <w:t xml:space="preserve">The books have not been paid for. No payment has issued on contents. That matters here because the standard fire policy wording enacted by statute in several states reads "There can be no abandonment to this Company of any property." I have not treated the cartons as ours to dispose of on the strength of a written-off valuation. His agreement is recorded rather than assumed.</w:t>
      </w:r>
    </w:p>
    <w:p/>
    <w:p>
      <w:pPr>
        <w:pStyle w:val="Heading2"/>
      </w:pPr>
      <w:r>
        <w:t xml:space="preserve">Vendor engaged</w:t>
      </w:r>
    </w:p>
    <w:p>
      <w:pPr>
        <w:spacing w:after="120"/>
      </w:pPr>
      <w:r>
        <w:t xml:space="preserve">None engaged, and none is recommended.</w:t>
      </w:r>
    </w:p>
    <w:p/>
    <w:p>
      <w:pPr>
        <w:spacing w:after="120"/>
      </w:pPr>
      <w:r>
        <w:t xml:space="preserve">The only items with any theoretical market were the books, and my judgement recorded above is that a vendor attendance would cost more than it returned. If the examiner takes a different view I would want that instruction in writing before contacting anyone, since the attendance charge is incurred whether or not the vendor takes the goods.</w:t>
      </w:r>
    </w:p>
    <w:p/>
    <w:p>
      <w:pPr>
        <w:pStyle w:val="Heading2"/>
      </w:pPr>
      <w:r>
        <w:t xml:space="preserve">Evidence hold</w:t>
      </w:r>
    </w:p>
    <w:p>
      <w:pPr>
        <w:spacing w:after="120"/>
      </w:pPr>
      <w:r>
        <w:t xml:space="preserve">Item 3, the braided stainless supply line and crimped fitting, tag PC-11482-A, is under hold. Placed by R. Calloway on 18 July 2026 and logged into the branch evidence locker on 20 July. Reason: it is the component whose failure caused the loss and it supports the referral made to the recovery unit on 20 July against the contractor who replaced the water heater in August 2025. Release date: open-ended. It must not be disposed of, cleaned, dismantled or bench-examined without the recovery unit's instruction, and my recommendation there is that notice to the adverse party precede any examination.</w:t>
      </w:r>
    </w:p>
    <w:p/>
    <w:p>
      <w:pPr>
        <w:spacing w:after="120"/>
      </w:pPr>
      <w:r>
        <w:t xml:space="preserve">Item 4, the water heater, is NOT under hold, and that is the open point on this report. It is undamaged and still in service, so no salvage question arises and on the face of it nothing needs deciding. But if the recovery unit wants it examined — the connection at the heater end is the same connection that failed — then it needs to be secured before the insured replaces or services the unit, and at present nobody has asked him not to. He has no reason to keep us informed about a heater that works.</w:t>
      </w:r>
    </w:p>
    <w:p/>
    <w:p>
      <w:pPr>
        <w:spacing w:after="120"/>
      </w:pPr>
      <w:r>
        <w:t xml:space="preserve">This is flagged to the recovery unit and to the examiner and is unresolved as at the date of this report. It is recorded here rather than only in the referral because the salvage report is where the disposal decision gets read, and an item nobody has claimed is an item somebody eventually throws out.</w:t>
      </w:r>
    </w:p>
    <w:p/>
    <w:p>
      <w:pPr>
        <w:pStyle w:val="Heading2"/>
      </w:pPr>
      <w:r>
        <w:t xml:space="preserve">Disposition and proceeds</w:t>
      </w:r>
    </w:p>
    <w:p>
      <w:pPr>
        <w:spacing w:after="120"/>
      </w:pPr>
      <w:r>
        <w:t xml:space="preserve">Item 1, books: held by the insured, undisposed, pending pricing and settlement of the contents element. No proceeds.</w:t>
      </w:r>
    </w:p>
    <w:p>
      <w:pPr>
        <w:spacing w:after="120"/>
      </w:pPr>
      <w:r>
        <w:t xml:space="preserve">Item 2, drywall and trim: disposed of as construction debris by the mitigation contractor on 21 July. No proceeds. No allowance arises.</w:t>
      </w:r>
    </w:p>
    <w:p>
      <w:pPr>
        <w:spacing w:after="120"/>
      </w:pPr>
      <w:r>
        <w:t xml:space="preserve">Item 3, supply line assembly: retained in the branch evidence locker under hold. No proceeds and none anticipated.</w:t>
      </w:r>
    </w:p>
    <w:p>
      <w:pPr>
        <w:spacing w:after="120"/>
      </w:pPr>
      <w:r>
        <w:t xml:space="preserve">Item 4, water heater: retained by the insured, in service, not part of the claim. No proceeds and no allowance.</w:t>
      </w:r>
    </w:p>
    <w:p/>
    <w:p>
      <w:pPr>
        <w:spacing w:after="120"/>
      </w:pPr>
      <w:r>
        <w:t xml:space="preserve">Gross proceeds: nil. Vendor charges: nil. Net proceeds: nil.</w:t>
      </w:r>
    </w:p>
    <w:p/>
    <w:p>
      <w:pPr>
        <w:pStyle w:val="Heading2"/>
      </w:pPr>
      <w:r>
        <w:t xml:space="preserve">Application to the claim</w:t>
      </w:r>
    </w:p>
    <w:p>
      <w:pPr>
        <w:spacing w:after="120"/>
      </w:pPr>
      <w:r>
        <w:t xml:space="preserve">No proceeds are applied and none are anticipated. The outstanding indemnity reserve of $19,000 is unaffected by salvage; the expense reserve of $2,500 carries no vendor charge on this head.</w:t>
      </w:r>
    </w:p>
    <w:p/>
    <w:p>
      <w:pPr>
        <w:spacing w:after="120"/>
      </w:pPr>
      <w:r>
        <w:t xml:space="preserve">If the contents element is settled and the insured then asks to keep the cartons, an allowance would need to be discussed at that point and this report amended. On these items I would expect that allowance to be nil, but the conversation belongs on the file either way.</w:t>
      </w:r>
    </w:p>
    <w:p/>
    <w:p>
      <w:pPr>
        <w:pStyle w:val="Heading2"/>
      </w:pPr>
      <w:r>
        <w:t xml:space="preserve">Closing entry</w:t>
      </w:r>
    </w:p>
    <w:p>
      <w:pPr>
        <w:spacing w:after="120"/>
      </w:pPr>
      <w:r>
        <w:t xml:space="preserve">There is no salvage of value on this claim. Five categories of property were examined and itemized above. Three have no residual value. The water heater and the racked contents are undamaged and form no part of the claim. No vendor has been engaged, no expense has been incurred, and no proceeds are anticipated.</w:t>
      </w:r>
    </w:p>
    <w:p/>
    <w:p>
      <w:pPr>
        <w:spacing w:after="120"/>
      </w:pPr>
      <w:r>
        <w:t xml:space="preserve">Two items remain open. The fourteen cartons of books are held by the insured pending pricing and settlement of the contents element, target 20 August, owner R. Calloway. The water heater at the risk is not under hold and may be wanted for a recovery examination; a decision is requested from the recovery unit by 14 August, after which it will either be secured in writing with the insured or released.</w:t>
      </w:r>
    </w:p>
    <w:p/>
    <w:p>
      <w:pPr>
        <w:spacing w:after="120"/>
      </w:pPr>
      <w:r>
        <w:t xml:space="preserve">Prepared by R. Calloway, 3 August 2026.</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claims.professionaldrafter.com/recovery/salvage-report/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Salvage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Salvage Report Template &amp; Example</dc:title>
  <dc:creator>Adjuster Report Library</dc:creator>
  <dc:description>A salvage report template with a filled-in example, covering permission before engaging a vendor and the no-salvage entry. Free Word download, no signup.</dc:description>
  <cp:lastModifiedBy>Un-named</cp:lastModifiedBy>
  <cp:revision>1</cp:revision>
  <dcterms:created xsi:type="dcterms:W3CDTF">2026-10-13T13:35:09.053Z</dcterms:created>
  <dcterms:modified xsi:type="dcterms:W3CDTF">2026-10-13T13:35:09.053Z</dcterms:modified>
</cp:coreProperties>
</file>

<file path=docProps/custom.xml><?xml version="1.0" encoding="utf-8"?>
<Properties xmlns="http://schemas.openxmlformats.org/officeDocument/2006/custom-properties" xmlns:vt="http://schemas.openxmlformats.org/officeDocument/2006/docPropsVTypes"/>
</file>