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Scope Sheet</w:t>
      </w:r>
    </w:p>
    <w:p>
      <w:pPr>
        <w:spacing w:after="120"/>
      </w:pPr>
      <w:r>
        <w:rPr>
          <w:i/>
          <w:iCs/>
          <w:sz w:val="20"/>
          <w:szCs w:val="20"/>
        </w:rPr>
        <w:t xml:space="preserve">Fillable template. Everything highlighted in yellow is yours to replace — 12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claims.professionaldrafter.com/investigation-and-scope/scope-sheet/</w:t>
      </w:r>
    </w:p>
    <w:p/>
    <w:p>
      <w:pPr>
        <w:pStyle w:val="Heading2"/>
      </w:pPr>
      <w:r>
        <w:t xml:space="preserve">Header block</w:t>
      </w:r>
    </w:p>
    <w:p>
      <w:pPr>
        <w:spacing w:after="120"/>
      </w:pPr>
      <w:r>
        <w:rPr>
          <w:i/>
          <w:iCs/>
          <w:sz w:val="18"/>
          <w:szCs w:val="18"/>
        </w:rPr>
        <w:t xml:space="preserve">Identification and provenance in one band across the top: claim number, insured, risk address, date of loss, date of inspection, who took the measurements, what instruments were used, and who else was present. The instrument matters more than people expect — a moisture reading means nothing without the meter, the scale and the material it was taken on. Add a revision number and date here from the first version, because scope sheets get revised and an undated second version circulating alongside the first is a genuine source of error.</w:t>
      </w:r>
    </w:p>
    <w:p>
      <w:pPr>
        <w:spacing w:after="120"/>
      </w:pPr>
      <w:r>
        <w:t xml:space="preserve">Claim number: </w:t>
      </w:r>
      <w:r>
        <w:rPr>
          <w:highlight w:val="yellow"/>
          <w:highlightCs w:val="yellow"/>
        </w:rPr>
        <w:t xml:space="preserve">[ ______________________ ]</w:t>
      </w:r>
    </w:p>
    <w:p>
      <w:pPr>
        <w:spacing w:after="120"/>
      </w:pPr>
      <w:r>
        <w:t xml:space="preserve">Date of inspection: </w:t>
      </w:r>
      <w:r>
        <w:rPr>
          <w:highlight w:val="yellow"/>
          <w:highlightCs w:val="yellow"/>
        </w:rPr>
        <w:t xml:space="preserve">[ ______________________ ]</w:t>
      </w:r>
    </w:p>
    <w:p>
      <w:pPr>
        <w:spacing w:after="120"/>
      </w:pPr>
      <w:r>
        <w:t xml:space="preserve">Prepared by: </w:t>
      </w:r>
      <w:r>
        <w:rPr>
          <w:highlight w:val="yellow"/>
          <w:highlightCs w:val="yellow"/>
        </w:rPr>
        <w:t xml:space="preserve">[ ______________________ ]</w:t>
      </w:r>
    </w:p>
    <w:p>
      <w:pPr>
        <w:spacing w:after="120"/>
      </w:pPr>
      <w:r>
        <w:t xml:space="preserve">Instruments: meter make and model, scale, laser or tape</w:t>
      </w:r>
    </w:p>
    <w:p>
      <w:pPr>
        <w:spacing w:after="120"/>
      </w:pPr>
      <w:r>
        <w:t xml:space="preserve">Revision and date: </w:t>
      </w:r>
      <w:r>
        <w:rPr>
          <w:highlight w:val="yellow"/>
          <w:highlightCs w:val="yellow"/>
        </w:rPr>
        <w:t xml:space="preserve">[ ______________________ ]</w:t>
      </w:r>
    </w:p>
    <w:p>
      <w:pPr>
        <w:spacing w:after="120"/>
      </w:pPr>
      <w:r>
        <w:rPr>
          <w:highlight w:val="yellow"/>
          <w:highlightCs w:val="yellow"/>
        </w:rPr>
        <w:t xml:space="preserve">[Claim number | Insured | Risk address | Date of loss | Date of inspection | Prepared by | Instruments used | Others present | Revision &lt;n&gt;, &lt;date&gt;]</w:t>
      </w:r>
    </w:p>
    <w:p/>
    <w:p>
      <w:pPr>
        <w:pStyle w:val="Heading2"/>
      </w:pPr>
      <w:r>
        <w:t xml:space="preserve">Room order and room headers</w:t>
      </w:r>
    </w:p>
    <w:p>
      <w:pPr>
        <w:spacing w:after="120"/>
      </w:pPr>
      <w:r>
        <w:rPr>
          <w:i/>
          <w:iCs/>
          <w:sz w:val="18"/>
          <w:szCs w:val="18"/>
        </w:rPr>
        <w:t xml:space="preserve">Order the sheet the way you walked the building, and say so. Each room gets a header carrying its name as the occupants use it, its dimensions, ceiling height, and the finishes present. Then the line items for that room. The reason to order by room rather than by trade is that the sheet has to be walkable — anyone can stand in the hallway with the sheet and check it, whereas a trade-ordered scope can only be checked by reconstructing the building in your head. Include unaffected rooms with a one-line note that they were inspected and no damage was observed. That entry is doing real work: it records what you looked at, not only what you found.</w:t>
      </w:r>
    </w:p>
    <w:p>
      <w:pPr>
        <w:spacing w:after="120"/>
      </w:pPr>
      <w:r>
        <w:rPr>
          <w:highlight w:val="yellow"/>
          <w:highlightCs w:val="yellow"/>
        </w:rPr>
        <w:t xml:space="preserve">[&lt;Room name&gt; — &lt;length&gt; x &lt;width&gt;, ceiling &lt;height&gt;. Finishes: &lt;floor / walls / ceiling&gt;. Affected: yes / no.]</w:t>
      </w:r>
    </w:p>
    <w:p>
      <w:pPr>
        <w:pStyle w:val="ListParagraph"/>
        <w:numPr>
          <w:ilvl w:val="0"/>
          <w:numId w:val="1"/>
        </w:numPr>
        <w:spacing w:after="80"/>
      </w:pPr>
      <w:r>
        <w:t xml:space="preserve">Rooms in the order walked, numbered</w:t>
      </w:r>
    </w:p>
    <w:p>
      <w:pPr>
        <w:pStyle w:val="ListParagraph"/>
        <w:numPr>
          <w:ilvl w:val="0"/>
          <w:numId w:val="1"/>
        </w:numPr>
        <w:spacing w:after="80"/>
      </w:pPr>
      <w:r>
        <w:t xml:space="preserve">Dimensions and ceiling height for each</w:t>
      </w:r>
    </w:p>
    <w:p>
      <w:pPr>
        <w:pStyle w:val="ListParagraph"/>
        <w:numPr>
          <w:ilvl w:val="0"/>
          <w:numId w:val="1"/>
        </w:numPr>
        <w:spacing w:after="80"/>
      </w:pPr>
      <w:r>
        <w:t xml:space="preserve">Existing finishes, since they set the replacement specification</w:t>
      </w:r>
    </w:p>
    <w:p>
      <w:pPr>
        <w:pStyle w:val="ListParagraph"/>
        <w:numPr>
          <w:ilvl w:val="0"/>
          <w:numId w:val="1"/>
        </w:numPr>
        <w:spacing w:after="80"/>
      </w:pPr>
      <w:r>
        <w:t xml:space="preserve">Unaffected rooms listed with "inspected, no damage observed"</w:t>
      </w:r>
    </w:p>
    <w:p/>
    <w:p>
      <w:pPr>
        <w:pStyle w:val="Heading2"/>
      </w:pPr>
      <w:r>
        <w:t xml:space="preserve">Line items — description, QTY, UNIT</w:t>
      </w:r>
    </w:p>
    <w:p>
      <w:pPr>
        <w:spacing w:after="120"/>
      </w:pPr>
      <w:r>
        <w:rPr>
          <w:i/>
          <w:iCs/>
          <w:sz w:val="18"/>
          <w:szCs w:val="18"/>
        </w:rPr>
        <w:t xml:space="preserve">Three columns and no fourth. The description states the operation and the specification: not "drywall" but "remove and replace 1/2 inch gypsum board, tape, float and texture to match". QTY is the number. UNIT is the unit of measure — LF, SF, SY, EA, CY, HR — and it is the column most often left implied and most often the cause of an argument, because 31 of something is meaningless until you know whether the something is feet or sheets. Number the lines continuously across the whole sheet rather than restarting in each room, so that line 24 refers to one thing in every conversation anybody has about this claim.</w:t>
      </w:r>
    </w:p>
    <w:p>
      <w:pPr>
        <w:spacing w:after="120"/>
      </w:pPr>
      <w:r>
        <w:rPr>
          <w:highlight w:val="yellow"/>
          <w:highlightCs w:val="yellow"/>
        </w:rPr>
        <w:t xml:space="preserve">[No. | Description of operation and specification | QTY | UNIT]</w:t>
      </w:r>
    </w:p>
    <w:p>
      <w:pPr>
        <w:pStyle w:val="ListParagraph"/>
        <w:numPr>
          <w:ilvl w:val="0"/>
          <w:numId w:val="1"/>
        </w:numPr>
        <w:spacing w:after="80"/>
      </w:pPr>
      <w:r>
        <w:t xml:space="preserve">One operation per line — remove and replace is two lines where the removal is separately measurable</w:t>
      </w:r>
    </w:p>
    <w:p>
      <w:pPr>
        <w:pStyle w:val="ListParagraph"/>
        <w:numPr>
          <w:ilvl w:val="0"/>
          <w:numId w:val="1"/>
        </w:numPr>
        <w:spacing w:after="80"/>
      </w:pPr>
      <w:r>
        <w:t xml:space="preserve">Specification in the description: material, thickness, finish, grade</w:t>
      </w:r>
    </w:p>
    <w:p>
      <w:pPr>
        <w:pStyle w:val="ListParagraph"/>
        <w:numPr>
          <w:ilvl w:val="0"/>
          <w:numId w:val="1"/>
        </w:numPr>
        <w:spacing w:after="80"/>
      </w:pPr>
      <w:r>
        <w:t xml:space="preserve">QTY as measured, not rounded to a comfortable number</w:t>
      </w:r>
    </w:p>
    <w:p>
      <w:pPr>
        <w:pStyle w:val="ListParagraph"/>
        <w:numPr>
          <w:ilvl w:val="0"/>
          <w:numId w:val="1"/>
        </w:numPr>
        <w:spacing w:after="80"/>
      </w:pPr>
      <w:r>
        <w:t xml:space="preserve">UNIT written out on every line, never inherited from the line above</w:t>
      </w:r>
    </w:p>
    <w:p>
      <w:pPr>
        <w:pStyle w:val="ListParagraph"/>
        <w:numPr>
          <w:ilvl w:val="0"/>
          <w:numId w:val="1"/>
        </w:numPr>
        <w:spacing w:after="80"/>
      </w:pPr>
      <w:r>
        <w:t xml:space="preserve">Continuous numbering across all rooms</w:t>
      </w:r>
    </w:p>
    <w:p/>
    <w:p>
      <w:pPr>
        <w:pStyle w:val="Heading2"/>
      </w:pPr>
      <w:r>
        <w:t xml:space="preserve">Measurements and how they were taken</w:t>
      </w:r>
    </w:p>
    <w:p>
      <w:pPr>
        <w:spacing w:after="120"/>
      </w:pPr>
      <w:r>
        <w:rPr>
          <w:i/>
          <w:iCs/>
          <w:sz w:val="18"/>
          <w:szCs w:val="18"/>
        </w:rPr>
        <w:t xml:space="preserve">A number without a method is not reproducible. Record how each significant quantity was derived — walls measured at the base, ceiling by room dimension, the wet line established by meter readings at stated distances. Where you measured a damage boundary rather than a room, say where the boundary was and how you decided it. This block is what allows a second adjuster to reproduce your scope two months later instead of remeasuring from scratch and arriving somewhere else. It is also the part of the sheet that answers the standard the NAIC's record-retention model regulation describes at §6 — a claim file clear and specific enough that the pertinent events and the dates of those events can be reconstructed from it. The model binds nobody by itself, but that is the shape of file a reviewer is looking for.</w:t>
      </w:r>
    </w:p>
    <w:p>
      <w:pPr>
        <w:spacing w:after="120"/>
      </w:pPr>
      <w:r>
        <w:rPr>
          <w:highlight w:val="yellow"/>
          <w:highlightCs w:val="yellow"/>
        </w:rPr>
        <w:t xml:space="preserve">[Method for each significant quantity: how measured, from where, with what, and how any damage boundary was established.]</w:t>
      </w:r>
    </w:p>
    <w:p/>
    <w:p>
      <w:pPr>
        <w:pStyle w:val="Heading2"/>
      </w:pPr>
      <w:r>
        <w:t xml:space="preserve">Notes, exclusions and undetermined items</w:t>
      </w:r>
    </w:p>
    <w:p>
      <w:pPr>
        <w:spacing w:after="120"/>
      </w:pPr>
      <w:r>
        <w:rPr>
          <w:i/>
          <w:iCs/>
          <w:sz w:val="18"/>
          <w:szCs w:val="18"/>
        </w:rPr>
        <w:t xml:space="preserve">Three separate lists and they should not be blended. Notes are observations that affect the work but are not themselves line items — asbestos suspected in the flooring, the run is above a finished ceiling, access is through a single 30-inch door. Exclusions are things deliberately not in this scope and why: pre-existing damage, work outside the affected area, items belonging on the contents inventory rather than the building scope. Undetermined items are quantities you could not establish on this visit, each with what is needed to establish it and who is getting it. Never carry an undetermined item as a zero, because a zero is read downstream as a finding of none.</w:t>
      </w:r>
    </w:p>
    <w:p>
      <w:pPr>
        <w:spacing w:after="120"/>
      </w:pPr>
      <w:r>
        <w:rPr>
          <w:highlight w:val="yellow"/>
          <w:highlightCs w:val="yellow"/>
        </w:rPr>
        <w:t xml:space="preserve">[Notes: &lt;observations affecting the work&gt;. Excluded from this scope: &lt;item&gt; — &lt;reason&gt;. Undetermined: &lt;item&gt; — &lt;what is needed, who is obtaining it, target date&gt;.]</w:t>
      </w:r>
    </w:p>
    <w:p>
      <w:pPr>
        <w:pStyle w:val="ListParagraph"/>
        <w:numPr>
          <w:ilvl w:val="0"/>
          <w:numId w:val="1"/>
        </w:numPr>
        <w:spacing w:after="80"/>
      </w:pPr>
      <w:r>
        <w:t xml:space="preserve">Notes — conditions affecting how the work is done</w:t>
      </w:r>
    </w:p>
    <w:p>
      <w:pPr>
        <w:pStyle w:val="ListParagraph"/>
        <w:numPr>
          <w:ilvl w:val="0"/>
          <w:numId w:val="1"/>
        </w:numPr>
        <w:spacing w:after="80"/>
      </w:pPr>
      <w:r>
        <w:t xml:space="preserve">Exclusions — with the reason, in the same line</w:t>
      </w:r>
    </w:p>
    <w:p>
      <w:pPr>
        <w:pStyle w:val="ListParagraph"/>
        <w:numPr>
          <w:ilvl w:val="0"/>
          <w:numId w:val="1"/>
        </w:numPr>
        <w:spacing w:after="80"/>
      </w:pPr>
      <w:r>
        <w:t xml:space="preserve">Undetermined — never entered as zero, always with an owner and a date</w:t>
      </w:r>
    </w:p>
    <w:p/>
    <w:p>
      <w:pPr>
        <w:pStyle w:val="Heading2"/>
      </w:pPr>
      <w:r>
        <w:t xml:space="preserve">Photograph and diagram keys</w:t>
      </w:r>
    </w:p>
    <w:p>
      <w:pPr>
        <w:spacing w:after="120"/>
      </w:pPr>
      <w:r>
        <w:rPr>
          <w:i/>
          <w:iCs/>
          <w:sz w:val="18"/>
          <w:szCs w:val="18"/>
        </w:rPr>
        <w:t xml:space="preserve">Every line item that a reader might question should point at an image, and the sketch should point back. Key the photographs to line numbers rather than describing them in words, and mark the sketch with the same numbers. The value is not tidiness — it is that a reviewer who doubts line 19 can look at line 19 without asking you anything, which is the difference between a query and a phone call.</w:t>
      </w:r>
    </w:p>
    <w:p>
      <w:pPr>
        <w:spacing w:after="120"/>
      </w:pPr>
      <w:r>
        <w:rPr>
          <w:highlight w:val="yellow"/>
          <w:highlightCs w:val="yellow"/>
        </w:rPr>
        <w:t xml:space="preserve">[Photographs &lt;range&gt; keyed to line numbers. Sketch reference: &lt;file&gt;, marked with line numbers and measurement points.]</w:t>
      </w:r>
    </w:p>
    <w:p/>
    <w:p>
      <w:pPr>
        <w:pStyle w:val="Heading2"/>
      </w:pPr>
      <w:r>
        <w:t xml:space="preserve">Sign-off and revision control</w:t>
      </w:r>
    </w:p>
    <w:p>
      <w:pPr>
        <w:spacing w:after="120"/>
      </w:pPr>
      <w:r>
        <w:rPr>
          <w:i/>
          <w:iCs/>
          <w:sz w:val="18"/>
          <w:szCs w:val="18"/>
        </w:rPr>
        <w:t xml:space="preserve">Who prepared it, on what date, and at which revision. If a contractor, public adjuster or the insured walked the scope with you and agreed the quantities, record who agreed what and note any line they did not agree — a recorded disagreement at line level is far easier to resolve later than a general assertion that the scope was disputed. Then state expressly that this document carries no pricing and that pricing follows separately, so nobody downstream treats the absence of money as an omission.</w:t>
      </w:r>
    </w:p>
    <w:p>
      <w:pPr>
        <w:spacing w:after="120"/>
      </w:pPr>
      <w:r>
        <w:rPr>
          <w:highlight w:val="yellow"/>
          <w:highlightCs w:val="yellow"/>
        </w:rPr>
        <w:t xml:space="preserve">[Prepared by &lt;name&gt;, &lt;date&gt;, revision &lt;n&gt;. Walked with &lt;names&gt;. Lines agreed: &lt;range&gt;. Lines not agreed: &lt;numbers and the difference&gt;. This scope contains no pricing; pricing is prepared separately.]</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scope of loss on a water loss at a single-family slab-on-grade dwelling, taken at the inspection four days after the reported date of loss. Two line items are left undetermined rather than estimated — the flooring under the closet base cabinet, and the extent of insulation in the affected wall cavity — because neither could be established without opening work that had not been authorised.</w:t>
      </w:r>
    </w:p>
    <w:p/>
    <w:p>
      <w:pPr>
        <w:pStyle w:val="Heading2"/>
      </w:pPr>
      <w:r>
        <w:t xml:space="preserve">Header block</w:t>
      </w:r>
    </w:p>
    <w:p>
      <w:pPr>
        <w:spacing w:after="120"/>
      </w:pPr>
      <w:r>
        <w:t xml:space="preserve">Claim PC-2026-11482 | Insured: D. Okonjo | Risk: 118 Harbour Lane | Date of loss: reported 14 July 2026 | Date of inspection: 18 July 2026 | Prepared by: R. Calloway | Instruments: Delmhorst BD-2100 moisture meter (wood scale), 25 ft steel tape, Leica laser | Others present: insured throughout | Revision 1, 18 July 2026.</w:t>
      </w:r>
    </w:p>
    <w:p/>
    <w:p>
      <w:pPr>
        <w:spacing w:after="120"/>
      </w:pPr>
      <w:r>
        <w:t xml:space="preserve">No pricing appears on this document. Pricing is prepared separately against these quantities.</w:t>
      </w:r>
    </w:p>
    <w:p/>
    <w:p>
      <w:pPr>
        <w:pStyle w:val="Heading2"/>
      </w:pPr>
      <w:r>
        <w:t xml:space="preserve">Room order and room headers</w:t>
      </w:r>
    </w:p>
    <w:p>
      <w:pPr>
        <w:spacing w:after="120"/>
      </w:pPr>
      <w:r>
        <w:t xml:space="preserve">Rooms are listed in the order walked, entering by the side door nearest the garage.</w:t>
      </w:r>
    </w:p>
    <w:p/>
    <w:p>
      <w:pPr>
        <w:spacing w:after="120"/>
      </w:pPr>
      <w:r>
        <w:t xml:space="preserve">Room 1 — Utility closet. 5 ft 4 in x 3 ft 0 in, ceiling 8 ft 0 in. Floor: sheet vinyl on slab. Walls and ceiling: 1/2 in gypsum, painted. Affected: yes.</w:t>
      </w:r>
    </w:p>
    <w:p/>
    <w:p>
      <w:pPr>
        <w:spacing w:after="120"/>
      </w:pPr>
      <w:r>
        <w:t xml:space="preserve">Room 2 — Hallway. 22 ft 6 in x 4 ft 0 in, ceiling 8 ft 0 in. Floor: engineered wood on slab. Walls: 1/2 in gypsum, painted, with 3 1/4 in colonial base. Affected: yes.</w:t>
      </w:r>
    </w:p>
    <w:p/>
    <w:p>
      <w:pPr>
        <w:spacing w:after="120"/>
      </w:pPr>
      <w:r>
        <w:t xml:space="preserve">Room 3 — Living room. 16 ft 0 in x 14 ft 6 in, ceiling 8 ft 0 in. Floor: engineered wood on slab, continuous with hallway. Walls as hallway. Affected: yes, south and west walls only.</w:t>
      </w:r>
    </w:p>
    <w:p/>
    <w:p>
      <w:pPr>
        <w:spacing w:after="120"/>
      </w:pPr>
      <w:r>
        <w:t xml:space="preserve">Room 4 — Kitchen. Inspected, no damage observed. Readings at the shared wall with the hallway at baseline.</w:t>
      </w:r>
    </w:p>
    <w:p/>
    <w:p>
      <w:pPr>
        <w:spacing w:after="120"/>
      </w:pPr>
      <w:r>
        <w:t xml:space="preserve">Room 5 — Bedroom 1. Inspected, no damage observed.</w:t>
      </w:r>
    </w:p>
    <w:p/>
    <w:p>
      <w:pPr>
        <w:spacing w:after="120"/>
      </w:pPr>
      <w:r>
        <w:t xml:space="preserve">Room 6 — Bedroom 2. Inspected, no damage observed. Baseline reading 9.6% taken here, approximately 40 ft from the source.</w:t>
      </w:r>
    </w:p>
    <w:p/>
    <w:p>
      <w:pPr>
        <w:spacing w:after="120"/>
      </w:pPr>
      <w:r>
        <w:t xml:space="preserve">Room 7 — Detached garage. Inspected, no water intrusion observed. Photographed for completeness.</w:t>
      </w:r>
    </w:p>
    <w:p/>
    <w:p>
      <w:pPr>
        <w:pStyle w:val="Heading2"/>
      </w:pPr>
      <w:r>
        <w:t xml:space="preserve">Line items — description, QTY, UNIT</w:t>
      </w:r>
    </w:p>
    <w:p>
      <w:pPr>
        <w:spacing w:after="120"/>
      </w:pPr>
      <w:r>
        <w:t xml:space="preserve">Room 1 — Utility closet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val="false"/>
        </w:trPr>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Detach and reset 40-gallon water heater to permit access</w:t>
            </w:r>
          </w:p>
        </w:tc>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EA</w:t>
            </w:r>
          </w:p>
        </w:tc>
      </w:tr>
      <w:tr>
        <w:trPr>
          <w:tblHeader w:val="false"/>
        </w:trPr>
        <w:tc>
          <w:tcPr>
            <w:tcMar>
              <w:top w:type="dxa" w:w="60"/>
              <w:left w:type="dxa" w:w="100"/>
              <w:bottom w:type="dxa" w:w="60"/>
              <w:right w:type="dxa" w:w="100"/>
            </w:tcMar>
          </w:tcPr>
          <w:p>
            <w:pPr>
              <w:spacing w:after="0"/>
            </w:pPr>
            <w:r>
              <w:rPr>
                <w:sz w:val="19"/>
                <w:szCs w:val="19"/>
              </w:rPr>
              <w:t xml:space="preserve">2</w:t>
            </w:r>
          </w:p>
        </w:tc>
        <w:tc>
          <w:tcPr>
            <w:tcMar>
              <w:top w:type="dxa" w:w="60"/>
              <w:left w:type="dxa" w:w="100"/>
              <w:bottom w:type="dxa" w:w="60"/>
              <w:right w:type="dxa" w:w="100"/>
            </w:tcMar>
          </w:tcPr>
          <w:p>
            <w:pPr>
              <w:spacing w:after="0"/>
            </w:pPr>
            <w:r>
              <w:rPr>
                <w:sz w:val="19"/>
                <w:szCs w:val="19"/>
              </w:rPr>
              <w:t xml:space="preserve">Remove sheet vinyl flooring and underlayment to slab</w:t>
            </w:r>
          </w:p>
        </w:tc>
        <w:tc>
          <w:tcPr>
            <w:tcMar>
              <w:top w:type="dxa" w:w="60"/>
              <w:left w:type="dxa" w:w="100"/>
              <w:bottom w:type="dxa" w:w="60"/>
              <w:right w:type="dxa" w:w="100"/>
            </w:tcMar>
          </w:tcPr>
          <w:p>
            <w:pPr>
              <w:spacing w:after="0"/>
            </w:pPr>
            <w:r>
              <w:rPr>
                <w:sz w:val="19"/>
                <w:szCs w:val="19"/>
              </w:rPr>
              <w:t xml:space="preserve">16</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3</w:t>
            </w:r>
          </w:p>
        </w:tc>
        <w:tc>
          <w:tcPr>
            <w:tcMar>
              <w:top w:type="dxa" w:w="60"/>
              <w:left w:type="dxa" w:w="100"/>
              <w:bottom w:type="dxa" w:w="60"/>
              <w:right w:type="dxa" w:w="100"/>
            </w:tcMar>
          </w:tcPr>
          <w:p>
            <w:pPr>
              <w:spacing w:after="0"/>
            </w:pPr>
            <w:r>
              <w:rPr>
                <w:sz w:val="19"/>
                <w:szCs w:val="19"/>
              </w:rPr>
              <w:t xml:space="preserve">Remove 1/2 in gypsum board to 24 in above slab, all four walls</w:t>
            </w:r>
          </w:p>
        </w:tc>
        <w:tc>
          <w:tcPr>
            <w:tcMar>
              <w:top w:type="dxa" w:w="60"/>
              <w:left w:type="dxa" w:w="100"/>
              <w:bottom w:type="dxa" w:w="60"/>
              <w:right w:type="dxa" w:w="100"/>
            </w:tcMar>
          </w:tcPr>
          <w:p>
            <w:pPr>
              <w:spacing w:after="0"/>
            </w:pPr>
            <w:r>
              <w:rPr>
                <w:sz w:val="19"/>
                <w:szCs w:val="19"/>
              </w:rPr>
              <w:t xml:space="preserve">34</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4</w:t>
            </w:r>
          </w:p>
        </w:tc>
        <w:tc>
          <w:tcPr>
            <w:tcMar>
              <w:top w:type="dxa" w:w="60"/>
              <w:left w:type="dxa" w:w="100"/>
              <w:bottom w:type="dxa" w:w="60"/>
              <w:right w:type="dxa" w:w="100"/>
            </w:tcMar>
          </w:tcPr>
          <w:p>
            <w:pPr>
              <w:spacing w:after="0"/>
            </w:pPr>
            <w:r>
              <w:rPr>
                <w:sz w:val="19"/>
                <w:szCs w:val="19"/>
              </w:rPr>
              <w:t xml:space="preserve">Remove and replace closet surround framing to 24 in, water-damaged</w:t>
            </w:r>
          </w:p>
        </w:tc>
        <w:tc>
          <w:tcPr>
            <w:tcMar>
              <w:top w:type="dxa" w:w="60"/>
              <w:left w:type="dxa" w:w="100"/>
              <w:bottom w:type="dxa" w:w="60"/>
              <w:right w:type="dxa" w:w="100"/>
            </w:tcMar>
          </w:tcPr>
          <w:p>
            <w:pPr>
              <w:spacing w:after="0"/>
            </w:pPr>
            <w:r>
              <w:rPr>
                <w:sz w:val="19"/>
                <w:szCs w:val="19"/>
              </w:rPr>
              <w:t xml:space="preserve">6</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5</w:t>
            </w:r>
          </w:p>
        </w:tc>
        <w:tc>
          <w:tcPr>
            <w:tcMar>
              <w:top w:type="dxa" w:w="60"/>
              <w:left w:type="dxa" w:w="100"/>
              <w:bottom w:type="dxa" w:w="60"/>
              <w:right w:type="dxa" w:w="100"/>
            </w:tcMar>
          </w:tcPr>
          <w:p>
            <w:pPr>
              <w:spacing w:after="0"/>
            </w:pPr>
            <w:r>
              <w:rPr>
                <w:sz w:val="19"/>
                <w:szCs w:val="19"/>
              </w:rPr>
              <w:t xml:space="preserve">Clean and disinfect slab</w:t>
            </w:r>
          </w:p>
        </w:tc>
        <w:tc>
          <w:tcPr>
            <w:tcMar>
              <w:top w:type="dxa" w:w="60"/>
              <w:left w:type="dxa" w:w="100"/>
              <w:bottom w:type="dxa" w:w="60"/>
              <w:right w:type="dxa" w:w="100"/>
            </w:tcMar>
          </w:tcPr>
          <w:p>
            <w:pPr>
              <w:spacing w:after="0"/>
            </w:pPr>
            <w:r>
              <w:rPr>
                <w:sz w:val="19"/>
                <w:szCs w:val="19"/>
              </w:rPr>
              <w:t xml:space="preserve">16</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6</w:t>
            </w:r>
          </w:p>
        </w:tc>
        <w:tc>
          <w:tcPr>
            <w:tcMar>
              <w:top w:type="dxa" w:w="60"/>
              <w:left w:type="dxa" w:w="100"/>
              <w:bottom w:type="dxa" w:w="60"/>
              <w:right w:type="dxa" w:w="100"/>
            </w:tcMar>
          </w:tcPr>
          <w:p>
            <w:pPr>
              <w:spacing w:after="0"/>
            </w:pPr>
            <w:r>
              <w:rPr>
                <w:sz w:val="19"/>
                <w:szCs w:val="19"/>
              </w:rPr>
              <w:t xml:space="preserve">Install 1/2 in gypsum board, tape, float, texture to match</w:t>
            </w:r>
          </w:p>
        </w:tc>
        <w:tc>
          <w:tcPr>
            <w:tcMar>
              <w:top w:type="dxa" w:w="60"/>
              <w:left w:type="dxa" w:w="100"/>
              <w:bottom w:type="dxa" w:w="60"/>
              <w:right w:type="dxa" w:w="100"/>
            </w:tcMar>
          </w:tcPr>
          <w:p>
            <w:pPr>
              <w:spacing w:after="0"/>
            </w:pPr>
            <w:r>
              <w:rPr>
                <w:sz w:val="19"/>
                <w:szCs w:val="19"/>
              </w:rPr>
              <w:t xml:space="preserve">34</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7</w:t>
            </w:r>
          </w:p>
        </w:tc>
        <w:tc>
          <w:tcPr>
            <w:tcMar>
              <w:top w:type="dxa" w:w="60"/>
              <w:left w:type="dxa" w:w="100"/>
              <w:bottom w:type="dxa" w:w="60"/>
              <w:right w:type="dxa" w:w="100"/>
            </w:tcMar>
          </w:tcPr>
          <w:p>
            <w:pPr>
              <w:spacing w:after="0"/>
            </w:pPr>
            <w:r>
              <w:rPr>
                <w:sz w:val="19"/>
                <w:szCs w:val="19"/>
              </w:rPr>
              <w:t xml:space="preserve">Seal and paint new gypsum, two coats</w:t>
            </w:r>
          </w:p>
        </w:tc>
        <w:tc>
          <w:tcPr>
            <w:tcMar>
              <w:top w:type="dxa" w:w="60"/>
              <w:left w:type="dxa" w:w="100"/>
              <w:bottom w:type="dxa" w:w="60"/>
              <w:right w:type="dxa" w:w="100"/>
            </w:tcMar>
          </w:tcPr>
          <w:p>
            <w:pPr>
              <w:spacing w:after="0"/>
            </w:pPr>
            <w:r>
              <w:rPr>
                <w:sz w:val="19"/>
                <w:szCs w:val="19"/>
              </w:rPr>
              <w:t xml:space="preserve">34</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8</w:t>
            </w:r>
          </w:p>
        </w:tc>
        <w:tc>
          <w:tcPr>
            <w:tcMar>
              <w:top w:type="dxa" w:w="60"/>
              <w:left w:type="dxa" w:w="100"/>
              <w:bottom w:type="dxa" w:w="60"/>
              <w:right w:type="dxa" w:w="100"/>
            </w:tcMar>
          </w:tcPr>
          <w:p>
            <w:pPr>
              <w:spacing w:after="0"/>
            </w:pPr>
            <w:r>
              <w:rPr>
                <w:sz w:val="19"/>
                <w:szCs w:val="19"/>
              </w:rPr>
              <w:t xml:space="preserve">Install sheet vinyl flooring to match existing</w:t>
            </w:r>
          </w:p>
        </w:tc>
        <w:tc>
          <w:tcPr>
            <w:tcMar>
              <w:top w:type="dxa" w:w="60"/>
              <w:left w:type="dxa" w:w="100"/>
              <w:bottom w:type="dxa" w:w="60"/>
              <w:right w:type="dxa" w:w="100"/>
            </w:tcMar>
          </w:tcPr>
          <w:p>
            <w:pPr>
              <w:spacing w:after="0"/>
            </w:pPr>
            <w:r>
              <w:rPr>
                <w:sz w:val="19"/>
                <w:szCs w:val="19"/>
              </w:rPr>
              <w:t xml:space="preserve">16</w:t>
            </w:r>
          </w:p>
        </w:tc>
        <w:tc>
          <w:tcPr>
            <w:tcMar>
              <w:top w:type="dxa" w:w="60"/>
              <w:left w:type="dxa" w:w="100"/>
              <w:bottom w:type="dxa" w:w="60"/>
              <w:right w:type="dxa" w:w="100"/>
            </w:tcMar>
          </w:tcPr>
          <w:p>
            <w:pPr>
              <w:spacing w:after="0"/>
            </w:pPr>
            <w:r>
              <w:rPr>
                <w:sz w:val="19"/>
                <w:szCs w:val="19"/>
              </w:rPr>
              <w:t xml:space="preserve">SF</w:t>
            </w:r>
          </w:p>
        </w:tc>
      </w:tr>
    </w:tbl>
    <w:p/>
    <w:p>
      <w:pPr>
        <w:spacing w:after="120"/>
      </w:pPr>
      <w:r>
        <w:t xml:space="preserve">Room 2 — Hallway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val="false"/>
        </w:trPr>
        <w:tc>
          <w:tcPr>
            <w:tcMar>
              <w:top w:type="dxa" w:w="60"/>
              <w:left w:type="dxa" w:w="100"/>
              <w:bottom w:type="dxa" w:w="60"/>
              <w:right w:type="dxa" w:w="100"/>
            </w:tcMar>
          </w:tcPr>
          <w:p>
            <w:pPr>
              <w:spacing w:after="0"/>
            </w:pPr>
            <w:r>
              <w:rPr>
                <w:sz w:val="19"/>
                <w:szCs w:val="19"/>
              </w:rPr>
              <w:t xml:space="preserve">9</w:t>
            </w:r>
          </w:p>
        </w:tc>
        <w:tc>
          <w:tcPr>
            <w:tcMar>
              <w:top w:type="dxa" w:w="60"/>
              <w:left w:type="dxa" w:w="100"/>
              <w:bottom w:type="dxa" w:w="60"/>
              <w:right w:type="dxa" w:w="100"/>
            </w:tcMar>
          </w:tcPr>
          <w:p>
            <w:pPr>
              <w:spacing w:after="0"/>
            </w:pPr>
            <w:r>
              <w:rPr>
                <w:sz w:val="19"/>
                <w:szCs w:val="19"/>
              </w:rPr>
              <w:t xml:space="preserve">Remove 3 1/4 in colonial base, both sides of run</w:t>
            </w:r>
          </w:p>
        </w:tc>
        <w:tc>
          <w:tcPr>
            <w:tcMar>
              <w:top w:type="dxa" w:w="60"/>
              <w:left w:type="dxa" w:w="100"/>
              <w:bottom w:type="dxa" w:w="60"/>
              <w:right w:type="dxa" w:w="100"/>
            </w:tcMar>
          </w:tcPr>
          <w:p>
            <w:pPr>
              <w:spacing w:after="0"/>
            </w:pPr>
            <w:r>
              <w:rPr>
                <w:sz w:val="19"/>
                <w:szCs w:val="19"/>
              </w:rPr>
              <w:t xml:space="preserve">45</w:t>
            </w:r>
          </w:p>
        </w:tc>
        <w:tc>
          <w:tcPr>
            <w:tcMar>
              <w:top w:type="dxa" w:w="60"/>
              <w:left w:type="dxa" w:w="100"/>
              <w:bottom w:type="dxa" w:w="60"/>
              <w:right w:type="dxa" w:w="100"/>
            </w:tcMar>
          </w:tcPr>
          <w:p>
            <w:pPr>
              <w:spacing w:after="0"/>
            </w:pPr>
            <w:r>
              <w:rPr>
                <w:sz w:val="19"/>
                <w:szCs w:val="19"/>
              </w:rPr>
              <w:t xml:space="preserve">LF</w:t>
            </w:r>
          </w:p>
        </w:tc>
      </w:tr>
      <w:tr>
        <w:trPr>
          <w:tblHeader w:val="false"/>
        </w:trPr>
        <w:tc>
          <w:tcPr>
            <w:tcMar>
              <w:top w:type="dxa" w:w="60"/>
              <w:left w:type="dxa" w:w="100"/>
              <w:bottom w:type="dxa" w:w="60"/>
              <w:right w:type="dxa" w:w="100"/>
            </w:tcMar>
          </w:tcPr>
          <w:p>
            <w:pPr>
              <w:spacing w:after="0"/>
            </w:pPr>
            <w:r>
              <w:rPr>
                <w:sz w:val="19"/>
                <w:szCs w:val="19"/>
              </w:rPr>
              <w:t xml:space="preserve">10</w:t>
            </w:r>
          </w:p>
        </w:tc>
        <w:tc>
          <w:tcPr>
            <w:tcMar>
              <w:top w:type="dxa" w:w="60"/>
              <w:left w:type="dxa" w:w="100"/>
              <w:bottom w:type="dxa" w:w="60"/>
              <w:right w:type="dxa" w:w="100"/>
            </w:tcMar>
          </w:tcPr>
          <w:p>
            <w:pPr>
              <w:spacing w:after="0"/>
            </w:pPr>
            <w:r>
              <w:rPr>
                <w:sz w:val="19"/>
                <w:szCs w:val="19"/>
              </w:rPr>
              <w:t xml:space="preserve">Remove 1/2 in gypsum board to 24 in above slab, south wall</w:t>
            </w:r>
          </w:p>
        </w:tc>
        <w:tc>
          <w:tcPr>
            <w:tcMar>
              <w:top w:type="dxa" w:w="60"/>
              <w:left w:type="dxa" w:w="100"/>
              <w:bottom w:type="dxa" w:w="60"/>
              <w:right w:type="dxa" w:w="100"/>
            </w:tcMar>
          </w:tcPr>
          <w:p>
            <w:pPr>
              <w:spacing w:after="0"/>
            </w:pPr>
            <w:r>
              <w:rPr>
                <w:sz w:val="19"/>
                <w:szCs w:val="19"/>
              </w:rPr>
              <w:t xml:space="preserve">18</w:t>
            </w:r>
          </w:p>
        </w:tc>
        <w:tc>
          <w:tcPr>
            <w:tcMar>
              <w:top w:type="dxa" w:w="60"/>
              <w:left w:type="dxa" w:w="100"/>
              <w:bottom w:type="dxa" w:w="60"/>
              <w:right w:type="dxa" w:w="100"/>
            </w:tcMar>
          </w:tcPr>
          <w:p>
            <w:pPr>
              <w:spacing w:after="0"/>
            </w:pPr>
            <w:r>
              <w:rPr>
                <w:sz w:val="19"/>
                <w:szCs w:val="19"/>
              </w:rPr>
              <w:t xml:space="preserve">LF</w:t>
            </w:r>
          </w:p>
        </w:tc>
      </w:tr>
      <w:tr>
        <w:trPr>
          <w:tblHeader w:val="false"/>
        </w:trPr>
        <w:tc>
          <w:tcPr>
            <w:tcMar>
              <w:top w:type="dxa" w:w="60"/>
              <w:left w:type="dxa" w:w="100"/>
              <w:bottom w:type="dxa" w:w="60"/>
              <w:right w:type="dxa" w:w="100"/>
            </w:tcMar>
          </w:tcPr>
          <w:p>
            <w:pPr>
              <w:spacing w:after="0"/>
            </w:pPr>
            <w:r>
              <w:rPr>
                <w:sz w:val="19"/>
                <w:szCs w:val="19"/>
              </w:rPr>
              <w:t xml:space="preserve">11</w:t>
            </w:r>
          </w:p>
        </w:tc>
        <w:tc>
          <w:tcPr>
            <w:tcMar>
              <w:top w:type="dxa" w:w="60"/>
              <w:left w:type="dxa" w:w="100"/>
              <w:bottom w:type="dxa" w:w="60"/>
              <w:right w:type="dxa" w:w="100"/>
            </w:tcMar>
          </w:tcPr>
          <w:p>
            <w:pPr>
              <w:spacing w:after="0"/>
            </w:pPr>
            <w:r>
              <w:rPr>
                <w:sz w:val="19"/>
                <w:szCs w:val="19"/>
              </w:rPr>
              <w:t xml:space="preserve">Remove engineered wood flooring, cupped and delaminated</w:t>
            </w:r>
          </w:p>
        </w:tc>
        <w:tc>
          <w:tcPr>
            <w:tcMar>
              <w:top w:type="dxa" w:w="60"/>
              <w:left w:type="dxa" w:w="100"/>
              <w:bottom w:type="dxa" w:w="60"/>
              <w:right w:type="dxa" w:w="100"/>
            </w:tcMar>
          </w:tcPr>
          <w:p>
            <w:pPr>
              <w:spacing w:after="0"/>
            </w:pPr>
            <w:r>
              <w:rPr>
                <w:sz w:val="19"/>
                <w:szCs w:val="19"/>
              </w:rPr>
              <w:t xml:space="preserve">90</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12</w:t>
            </w:r>
          </w:p>
        </w:tc>
        <w:tc>
          <w:tcPr>
            <w:tcMar>
              <w:top w:type="dxa" w:w="60"/>
              <w:left w:type="dxa" w:w="100"/>
              <w:bottom w:type="dxa" w:w="60"/>
              <w:right w:type="dxa" w:w="100"/>
            </w:tcMar>
          </w:tcPr>
          <w:p>
            <w:pPr>
              <w:spacing w:after="0"/>
            </w:pPr>
            <w:r>
              <w:rPr>
                <w:sz w:val="19"/>
                <w:szCs w:val="19"/>
              </w:rPr>
              <w:t xml:space="preserve">Clean and disinfect slab</w:t>
            </w:r>
          </w:p>
        </w:tc>
        <w:tc>
          <w:tcPr>
            <w:tcMar>
              <w:top w:type="dxa" w:w="60"/>
              <w:left w:type="dxa" w:w="100"/>
              <w:bottom w:type="dxa" w:w="60"/>
              <w:right w:type="dxa" w:w="100"/>
            </w:tcMar>
          </w:tcPr>
          <w:p>
            <w:pPr>
              <w:spacing w:after="0"/>
            </w:pPr>
            <w:r>
              <w:rPr>
                <w:sz w:val="19"/>
                <w:szCs w:val="19"/>
              </w:rPr>
              <w:t xml:space="preserve">90</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13</w:t>
            </w:r>
          </w:p>
        </w:tc>
        <w:tc>
          <w:tcPr>
            <w:tcMar>
              <w:top w:type="dxa" w:w="60"/>
              <w:left w:type="dxa" w:w="100"/>
              <w:bottom w:type="dxa" w:w="60"/>
              <w:right w:type="dxa" w:w="100"/>
            </w:tcMar>
          </w:tcPr>
          <w:p>
            <w:pPr>
              <w:spacing w:after="0"/>
            </w:pPr>
            <w:r>
              <w:rPr>
                <w:sz w:val="19"/>
                <w:szCs w:val="19"/>
              </w:rPr>
              <w:t xml:space="preserve">Install 1/2 in gypsum board to 24 in, tape, float, texture to match</w:t>
            </w:r>
          </w:p>
        </w:tc>
        <w:tc>
          <w:tcPr>
            <w:tcMar>
              <w:top w:type="dxa" w:w="60"/>
              <w:left w:type="dxa" w:w="100"/>
              <w:bottom w:type="dxa" w:w="60"/>
              <w:right w:type="dxa" w:w="100"/>
            </w:tcMar>
          </w:tcPr>
          <w:p>
            <w:pPr>
              <w:spacing w:after="0"/>
            </w:pPr>
            <w:r>
              <w:rPr>
                <w:sz w:val="19"/>
                <w:szCs w:val="19"/>
              </w:rPr>
              <w:t xml:space="preserve">18</w:t>
            </w:r>
          </w:p>
        </w:tc>
        <w:tc>
          <w:tcPr>
            <w:tcMar>
              <w:top w:type="dxa" w:w="60"/>
              <w:left w:type="dxa" w:w="100"/>
              <w:bottom w:type="dxa" w:w="60"/>
              <w:right w:type="dxa" w:w="100"/>
            </w:tcMar>
          </w:tcPr>
          <w:p>
            <w:pPr>
              <w:spacing w:after="0"/>
            </w:pPr>
            <w:r>
              <w:rPr>
                <w:sz w:val="19"/>
                <w:szCs w:val="19"/>
              </w:rPr>
              <w:t xml:space="preserve">LF</w:t>
            </w:r>
          </w:p>
        </w:tc>
      </w:tr>
      <w:tr>
        <w:trPr>
          <w:tblHeader w:val="false"/>
        </w:trPr>
        <w:tc>
          <w:tcPr>
            <w:tcMar>
              <w:top w:type="dxa" w:w="60"/>
              <w:left w:type="dxa" w:w="100"/>
              <w:bottom w:type="dxa" w:w="60"/>
              <w:right w:type="dxa" w:w="100"/>
            </w:tcMar>
          </w:tcPr>
          <w:p>
            <w:pPr>
              <w:spacing w:after="0"/>
            </w:pPr>
            <w:r>
              <w:rPr>
                <w:sz w:val="19"/>
                <w:szCs w:val="19"/>
              </w:rPr>
              <w:t xml:space="preserve">14</w:t>
            </w:r>
          </w:p>
        </w:tc>
        <w:tc>
          <w:tcPr>
            <w:tcMar>
              <w:top w:type="dxa" w:w="60"/>
              <w:left w:type="dxa" w:w="100"/>
              <w:bottom w:type="dxa" w:w="60"/>
              <w:right w:type="dxa" w:w="100"/>
            </w:tcMar>
          </w:tcPr>
          <w:p>
            <w:pPr>
              <w:spacing w:after="0"/>
            </w:pPr>
            <w:r>
              <w:rPr>
                <w:sz w:val="19"/>
                <w:szCs w:val="19"/>
              </w:rPr>
              <w:t xml:space="preserve">Install 3 1/4 in colonial base to match existing</w:t>
            </w:r>
          </w:p>
        </w:tc>
        <w:tc>
          <w:tcPr>
            <w:tcMar>
              <w:top w:type="dxa" w:w="60"/>
              <w:left w:type="dxa" w:w="100"/>
              <w:bottom w:type="dxa" w:w="60"/>
              <w:right w:type="dxa" w:w="100"/>
            </w:tcMar>
          </w:tcPr>
          <w:p>
            <w:pPr>
              <w:spacing w:after="0"/>
            </w:pPr>
            <w:r>
              <w:rPr>
                <w:sz w:val="19"/>
                <w:szCs w:val="19"/>
              </w:rPr>
              <w:t xml:space="preserve">45</w:t>
            </w:r>
          </w:p>
        </w:tc>
        <w:tc>
          <w:tcPr>
            <w:tcMar>
              <w:top w:type="dxa" w:w="60"/>
              <w:left w:type="dxa" w:w="100"/>
              <w:bottom w:type="dxa" w:w="60"/>
              <w:right w:type="dxa" w:w="100"/>
            </w:tcMar>
          </w:tcPr>
          <w:p>
            <w:pPr>
              <w:spacing w:after="0"/>
            </w:pPr>
            <w:r>
              <w:rPr>
                <w:sz w:val="19"/>
                <w:szCs w:val="19"/>
              </w:rPr>
              <w:t xml:space="preserve">LF</w:t>
            </w:r>
          </w:p>
        </w:tc>
      </w:tr>
      <w:tr>
        <w:trPr>
          <w:tblHeader w:val="false"/>
        </w:trPr>
        <w:tc>
          <w:tcPr>
            <w:tcMar>
              <w:top w:type="dxa" w:w="60"/>
              <w:left w:type="dxa" w:w="100"/>
              <w:bottom w:type="dxa" w:w="60"/>
              <w:right w:type="dxa" w:w="100"/>
            </w:tcMar>
          </w:tcPr>
          <w:p>
            <w:pPr>
              <w:spacing w:after="0"/>
            </w:pPr>
            <w:r>
              <w:rPr>
                <w:sz w:val="19"/>
                <w:szCs w:val="19"/>
              </w:rPr>
              <w:t xml:space="preserve">15</w:t>
            </w:r>
          </w:p>
        </w:tc>
        <w:tc>
          <w:tcPr>
            <w:tcMar>
              <w:top w:type="dxa" w:w="60"/>
              <w:left w:type="dxa" w:w="100"/>
              <w:bottom w:type="dxa" w:w="60"/>
              <w:right w:type="dxa" w:w="100"/>
            </w:tcMar>
          </w:tcPr>
          <w:p>
            <w:pPr>
              <w:spacing w:after="0"/>
            </w:pPr>
            <w:r>
              <w:rPr>
                <w:sz w:val="19"/>
                <w:szCs w:val="19"/>
              </w:rPr>
              <w:t xml:space="preserve">Install engineered wood flooring to match existing</w:t>
            </w:r>
          </w:p>
        </w:tc>
        <w:tc>
          <w:tcPr>
            <w:tcMar>
              <w:top w:type="dxa" w:w="60"/>
              <w:left w:type="dxa" w:w="100"/>
              <w:bottom w:type="dxa" w:w="60"/>
              <w:right w:type="dxa" w:w="100"/>
            </w:tcMar>
          </w:tcPr>
          <w:p>
            <w:pPr>
              <w:spacing w:after="0"/>
            </w:pPr>
            <w:r>
              <w:rPr>
                <w:sz w:val="19"/>
                <w:szCs w:val="19"/>
              </w:rPr>
              <w:t xml:space="preserve">90</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16</w:t>
            </w:r>
          </w:p>
        </w:tc>
        <w:tc>
          <w:tcPr>
            <w:tcMar>
              <w:top w:type="dxa" w:w="60"/>
              <w:left w:type="dxa" w:w="100"/>
              <w:bottom w:type="dxa" w:w="60"/>
              <w:right w:type="dxa" w:w="100"/>
            </w:tcMar>
          </w:tcPr>
          <w:p>
            <w:pPr>
              <w:spacing w:after="0"/>
            </w:pPr>
            <w:r>
              <w:rPr>
                <w:sz w:val="19"/>
                <w:szCs w:val="19"/>
              </w:rPr>
              <w:t xml:space="preserve">Seal and paint gypsum and base, two coats</w:t>
            </w:r>
          </w:p>
        </w:tc>
        <w:tc>
          <w:tcPr>
            <w:tcMar>
              <w:top w:type="dxa" w:w="60"/>
              <w:left w:type="dxa" w:w="100"/>
              <w:bottom w:type="dxa" w:w="60"/>
              <w:right w:type="dxa" w:w="100"/>
            </w:tcMar>
          </w:tcPr>
          <w:p>
            <w:pPr>
              <w:spacing w:after="0"/>
            </w:pPr>
            <w:r>
              <w:rPr>
                <w:sz w:val="19"/>
                <w:szCs w:val="19"/>
              </w:rPr>
              <w:t xml:space="preserve">45</w:t>
            </w:r>
          </w:p>
        </w:tc>
        <w:tc>
          <w:tcPr>
            <w:tcMar>
              <w:top w:type="dxa" w:w="60"/>
              <w:left w:type="dxa" w:w="100"/>
              <w:bottom w:type="dxa" w:w="60"/>
              <w:right w:type="dxa" w:w="100"/>
            </w:tcMar>
          </w:tcPr>
          <w:p>
            <w:pPr>
              <w:spacing w:after="0"/>
            </w:pPr>
            <w:r>
              <w:rPr>
                <w:sz w:val="19"/>
                <w:szCs w:val="19"/>
              </w:rPr>
              <w:t xml:space="preserve">LF</w:t>
            </w:r>
          </w:p>
        </w:tc>
      </w:tr>
    </w:tbl>
    <w:p/>
    <w:p>
      <w:pPr>
        <w:spacing w:after="120"/>
      </w:pPr>
      <w:r>
        <w:t xml:space="preserve">Room 3 — Living room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val="false"/>
        </w:trPr>
        <w:tc>
          <w:tcPr>
            <w:tcMar>
              <w:top w:type="dxa" w:w="60"/>
              <w:left w:type="dxa" w:w="100"/>
              <w:bottom w:type="dxa" w:w="60"/>
              <w:right w:type="dxa" w:w="100"/>
            </w:tcMar>
          </w:tcPr>
          <w:p>
            <w:pPr>
              <w:spacing w:after="0"/>
            </w:pPr>
            <w:r>
              <w:rPr>
                <w:sz w:val="19"/>
                <w:szCs w:val="19"/>
              </w:rPr>
              <w:t xml:space="preserve">17</w:t>
            </w:r>
          </w:p>
        </w:tc>
        <w:tc>
          <w:tcPr>
            <w:tcMar>
              <w:top w:type="dxa" w:w="60"/>
              <w:left w:type="dxa" w:w="100"/>
              <w:bottom w:type="dxa" w:w="60"/>
              <w:right w:type="dxa" w:w="100"/>
            </w:tcMar>
          </w:tcPr>
          <w:p>
            <w:pPr>
              <w:spacing w:after="0"/>
            </w:pPr>
            <w:r>
              <w:rPr>
                <w:sz w:val="19"/>
                <w:szCs w:val="19"/>
              </w:rPr>
              <w:t xml:space="preserve">Remove 3 1/4 in colonial base, south and west walls</w:t>
            </w:r>
          </w:p>
        </w:tc>
        <w:tc>
          <w:tcPr>
            <w:tcMar>
              <w:top w:type="dxa" w:w="60"/>
              <w:left w:type="dxa" w:w="100"/>
              <w:bottom w:type="dxa" w:w="60"/>
              <w:right w:type="dxa" w:w="100"/>
            </w:tcMar>
          </w:tcPr>
          <w:p>
            <w:pPr>
              <w:spacing w:after="0"/>
            </w:pPr>
            <w:r>
              <w:rPr>
                <w:sz w:val="19"/>
                <w:szCs w:val="19"/>
              </w:rPr>
              <w:t xml:space="preserve">30</w:t>
            </w:r>
          </w:p>
        </w:tc>
        <w:tc>
          <w:tcPr>
            <w:tcMar>
              <w:top w:type="dxa" w:w="60"/>
              <w:left w:type="dxa" w:w="100"/>
              <w:bottom w:type="dxa" w:w="60"/>
              <w:right w:type="dxa" w:w="100"/>
            </w:tcMar>
          </w:tcPr>
          <w:p>
            <w:pPr>
              <w:spacing w:after="0"/>
            </w:pPr>
            <w:r>
              <w:rPr>
                <w:sz w:val="19"/>
                <w:szCs w:val="19"/>
              </w:rPr>
              <w:t xml:space="preserve">LF</w:t>
            </w:r>
          </w:p>
        </w:tc>
      </w:tr>
      <w:tr>
        <w:trPr>
          <w:tblHeader w:val="false"/>
        </w:trPr>
        <w:tc>
          <w:tcPr>
            <w:tcMar>
              <w:top w:type="dxa" w:w="60"/>
              <w:left w:type="dxa" w:w="100"/>
              <w:bottom w:type="dxa" w:w="60"/>
              <w:right w:type="dxa" w:w="100"/>
            </w:tcMar>
          </w:tcPr>
          <w:p>
            <w:pPr>
              <w:spacing w:after="0"/>
            </w:pPr>
            <w:r>
              <w:rPr>
                <w:sz w:val="19"/>
                <w:szCs w:val="19"/>
              </w:rPr>
              <w:t xml:space="preserve">18</w:t>
            </w:r>
          </w:p>
        </w:tc>
        <w:tc>
          <w:tcPr>
            <w:tcMar>
              <w:top w:type="dxa" w:w="60"/>
              <w:left w:type="dxa" w:w="100"/>
              <w:bottom w:type="dxa" w:w="60"/>
              <w:right w:type="dxa" w:w="100"/>
            </w:tcMar>
          </w:tcPr>
          <w:p>
            <w:pPr>
              <w:spacing w:after="0"/>
            </w:pPr>
            <w:r>
              <w:rPr>
                <w:sz w:val="19"/>
                <w:szCs w:val="19"/>
              </w:rPr>
              <w:t xml:space="preserve">Remove 1/2 in gypsum board to 24 in above slab, south and west walls</w:t>
            </w:r>
          </w:p>
        </w:tc>
        <w:tc>
          <w:tcPr>
            <w:tcMar>
              <w:top w:type="dxa" w:w="60"/>
              <w:left w:type="dxa" w:w="100"/>
              <w:bottom w:type="dxa" w:w="60"/>
              <w:right w:type="dxa" w:w="100"/>
            </w:tcMar>
          </w:tcPr>
          <w:p>
            <w:pPr>
              <w:spacing w:after="0"/>
            </w:pPr>
            <w:r>
              <w:rPr>
                <w:sz w:val="19"/>
                <w:szCs w:val="19"/>
              </w:rPr>
              <w:t xml:space="preserve">13</w:t>
            </w:r>
          </w:p>
        </w:tc>
        <w:tc>
          <w:tcPr>
            <w:tcMar>
              <w:top w:type="dxa" w:w="60"/>
              <w:left w:type="dxa" w:w="100"/>
              <w:bottom w:type="dxa" w:w="60"/>
              <w:right w:type="dxa" w:w="100"/>
            </w:tcMar>
          </w:tcPr>
          <w:p>
            <w:pPr>
              <w:spacing w:after="0"/>
            </w:pPr>
            <w:r>
              <w:rPr>
                <w:sz w:val="19"/>
                <w:szCs w:val="19"/>
              </w:rPr>
              <w:t xml:space="preserve">LF</w:t>
            </w:r>
          </w:p>
        </w:tc>
      </w:tr>
      <w:tr>
        <w:trPr>
          <w:tblHeader w:val="false"/>
        </w:trPr>
        <w:tc>
          <w:tcPr>
            <w:tcMar>
              <w:top w:type="dxa" w:w="60"/>
              <w:left w:type="dxa" w:w="100"/>
              <w:bottom w:type="dxa" w:w="60"/>
              <w:right w:type="dxa" w:w="100"/>
            </w:tcMar>
          </w:tcPr>
          <w:p>
            <w:pPr>
              <w:spacing w:after="0"/>
            </w:pPr>
            <w:r>
              <w:rPr>
                <w:sz w:val="19"/>
                <w:szCs w:val="19"/>
              </w:rPr>
              <w:t xml:space="preserve">19</w:t>
            </w:r>
          </w:p>
        </w:tc>
        <w:tc>
          <w:tcPr>
            <w:tcMar>
              <w:top w:type="dxa" w:w="60"/>
              <w:left w:type="dxa" w:w="100"/>
              <w:bottom w:type="dxa" w:w="60"/>
              <w:right w:type="dxa" w:w="100"/>
            </w:tcMar>
          </w:tcPr>
          <w:p>
            <w:pPr>
              <w:spacing w:after="0"/>
            </w:pPr>
            <w:r>
              <w:rPr>
                <w:sz w:val="19"/>
                <w:szCs w:val="19"/>
              </w:rPr>
              <w:t xml:space="preserve">Detach and reset shelving on west wall to permit access</w:t>
            </w:r>
          </w:p>
        </w:tc>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EA</w:t>
            </w:r>
          </w:p>
        </w:tc>
      </w:tr>
      <w:tr>
        <w:trPr>
          <w:tblHeader w:val="false"/>
        </w:trPr>
        <w:tc>
          <w:tcPr>
            <w:tcMar>
              <w:top w:type="dxa" w:w="60"/>
              <w:left w:type="dxa" w:w="100"/>
              <w:bottom w:type="dxa" w:w="60"/>
              <w:right w:type="dxa" w:w="100"/>
            </w:tcMar>
          </w:tcPr>
          <w:p>
            <w:pPr>
              <w:spacing w:after="0"/>
            </w:pPr>
            <w:r>
              <w:rPr>
                <w:sz w:val="19"/>
                <w:szCs w:val="19"/>
              </w:rPr>
              <w:t xml:space="preserve">20</w:t>
            </w:r>
          </w:p>
        </w:tc>
        <w:tc>
          <w:tcPr>
            <w:tcMar>
              <w:top w:type="dxa" w:w="60"/>
              <w:left w:type="dxa" w:w="100"/>
              <w:bottom w:type="dxa" w:w="60"/>
              <w:right w:type="dxa" w:w="100"/>
            </w:tcMar>
          </w:tcPr>
          <w:p>
            <w:pPr>
              <w:spacing w:after="0"/>
            </w:pPr>
            <w:r>
              <w:rPr>
                <w:sz w:val="19"/>
                <w:szCs w:val="19"/>
              </w:rPr>
              <w:t xml:space="preserve">Remove engineered wood flooring in affected area</w:t>
            </w:r>
          </w:p>
        </w:tc>
        <w:tc>
          <w:tcPr>
            <w:tcMar>
              <w:top w:type="dxa" w:w="60"/>
              <w:left w:type="dxa" w:w="100"/>
              <w:bottom w:type="dxa" w:w="60"/>
              <w:right w:type="dxa" w:w="100"/>
            </w:tcMar>
          </w:tcPr>
          <w:p>
            <w:pPr>
              <w:spacing w:after="0"/>
            </w:pPr>
            <w:r>
              <w:rPr>
                <w:sz w:val="19"/>
                <w:szCs w:val="19"/>
              </w:rPr>
              <w:t xml:space="preserve">116</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21</w:t>
            </w:r>
          </w:p>
        </w:tc>
        <w:tc>
          <w:tcPr>
            <w:tcMar>
              <w:top w:type="dxa" w:w="60"/>
              <w:left w:type="dxa" w:w="100"/>
              <w:bottom w:type="dxa" w:w="60"/>
              <w:right w:type="dxa" w:w="100"/>
            </w:tcMar>
          </w:tcPr>
          <w:p>
            <w:pPr>
              <w:spacing w:after="0"/>
            </w:pPr>
            <w:r>
              <w:rPr>
                <w:sz w:val="19"/>
                <w:szCs w:val="19"/>
              </w:rPr>
              <w:t xml:space="preserve">Clean and disinfect slab</w:t>
            </w:r>
          </w:p>
        </w:tc>
        <w:tc>
          <w:tcPr>
            <w:tcMar>
              <w:top w:type="dxa" w:w="60"/>
              <w:left w:type="dxa" w:w="100"/>
              <w:bottom w:type="dxa" w:w="60"/>
              <w:right w:type="dxa" w:w="100"/>
            </w:tcMar>
          </w:tcPr>
          <w:p>
            <w:pPr>
              <w:spacing w:after="0"/>
            </w:pPr>
            <w:r>
              <w:rPr>
                <w:sz w:val="19"/>
                <w:szCs w:val="19"/>
              </w:rPr>
              <w:t xml:space="preserve">116</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22</w:t>
            </w:r>
          </w:p>
        </w:tc>
        <w:tc>
          <w:tcPr>
            <w:tcMar>
              <w:top w:type="dxa" w:w="60"/>
              <w:left w:type="dxa" w:w="100"/>
              <w:bottom w:type="dxa" w:w="60"/>
              <w:right w:type="dxa" w:w="100"/>
            </w:tcMar>
          </w:tcPr>
          <w:p>
            <w:pPr>
              <w:spacing w:after="0"/>
            </w:pPr>
            <w:r>
              <w:rPr>
                <w:sz w:val="19"/>
                <w:szCs w:val="19"/>
              </w:rPr>
              <w:t xml:space="preserve">Install 1/2 in gypsum board to 24 in, tape, float, texture to match</w:t>
            </w:r>
          </w:p>
        </w:tc>
        <w:tc>
          <w:tcPr>
            <w:tcMar>
              <w:top w:type="dxa" w:w="60"/>
              <w:left w:type="dxa" w:w="100"/>
              <w:bottom w:type="dxa" w:w="60"/>
              <w:right w:type="dxa" w:w="100"/>
            </w:tcMar>
          </w:tcPr>
          <w:p>
            <w:pPr>
              <w:spacing w:after="0"/>
            </w:pPr>
            <w:r>
              <w:rPr>
                <w:sz w:val="19"/>
                <w:szCs w:val="19"/>
              </w:rPr>
              <w:t xml:space="preserve">13</w:t>
            </w:r>
          </w:p>
        </w:tc>
        <w:tc>
          <w:tcPr>
            <w:tcMar>
              <w:top w:type="dxa" w:w="60"/>
              <w:left w:type="dxa" w:w="100"/>
              <w:bottom w:type="dxa" w:w="60"/>
              <w:right w:type="dxa" w:w="100"/>
            </w:tcMar>
          </w:tcPr>
          <w:p>
            <w:pPr>
              <w:spacing w:after="0"/>
            </w:pPr>
            <w:r>
              <w:rPr>
                <w:sz w:val="19"/>
                <w:szCs w:val="19"/>
              </w:rPr>
              <w:t xml:space="preserve">LF</w:t>
            </w:r>
          </w:p>
        </w:tc>
      </w:tr>
      <w:tr>
        <w:trPr>
          <w:tblHeader w:val="false"/>
        </w:trPr>
        <w:tc>
          <w:tcPr>
            <w:tcMar>
              <w:top w:type="dxa" w:w="60"/>
              <w:left w:type="dxa" w:w="100"/>
              <w:bottom w:type="dxa" w:w="60"/>
              <w:right w:type="dxa" w:w="100"/>
            </w:tcMar>
          </w:tcPr>
          <w:p>
            <w:pPr>
              <w:spacing w:after="0"/>
            </w:pPr>
            <w:r>
              <w:rPr>
                <w:sz w:val="19"/>
                <w:szCs w:val="19"/>
              </w:rPr>
              <w:t xml:space="preserve">23</w:t>
            </w:r>
          </w:p>
        </w:tc>
        <w:tc>
          <w:tcPr>
            <w:tcMar>
              <w:top w:type="dxa" w:w="60"/>
              <w:left w:type="dxa" w:w="100"/>
              <w:bottom w:type="dxa" w:w="60"/>
              <w:right w:type="dxa" w:w="100"/>
            </w:tcMar>
          </w:tcPr>
          <w:p>
            <w:pPr>
              <w:spacing w:after="0"/>
            </w:pPr>
            <w:r>
              <w:rPr>
                <w:sz w:val="19"/>
                <w:szCs w:val="19"/>
              </w:rPr>
              <w:t xml:space="preserve">Install 3 1/4 in colonial base to match existing</w:t>
            </w:r>
          </w:p>
        </w:tc>
        <w:tc>
          <w:tcPr>
            <w:tcMar>
              <w:top w:type="dxa" w:w="60"/>
              <w:left w:type="dxa" w:w="100"/>
              <w:bottom w:type="dxa" w:w="60"/>
              <w:right w:type="dxa" w:w="100"/>
            </w:tcMar>
          </w:tcPr>
          <w:p>
            <w:pPr>
              <w:spacing w:after="0"/>
            </w:pPr>
            <w:r>
              <w:rPr>
                <w:sz w:val="19"/>
                <w:szCs w:val="19"/>
              </w:rPr>
              <w:t xml:space="preserve">30</w:t>
            </w:r>
          </w:p>
        </w:tc>
        <w:tc>
          <w:tcPr>
            <w:tcMar>
              <w:top w:type="dxa" w:w="60"/>
              <w:left w:type="dxa" w:w="100"/>
              <w:bottom w:type="dxa" w:w="60"/>
              <w:right w:type="dxa" w:w="100"/>
            </w:tcMar>
          </w:tcPr>
          <w:p>
            <w:pPr>
              <w:spacing w:after="0"/>
            </w:pPr>
            <w:r>
              <w:rPr>
                <w:sz w:val="19"/>
                <w:szCs w:val="19"/>
              </w:rPr>
              <w:t xml:space="preserve">LF</w:t>
            </w:r>
          </w:p>
        </w:tc>
      </w:tr>
      <w:tr>
        <w:trPr>
          <w:tblHeader w:val="false"/>
        </w:trPr>
        <w:tc>
          <w:tcPr>
            <w:tcMar>
              <w:top w:type="dxa" w:w="60"/>
              <w:left w:type="dxa" w:w="100"/>
              <w:bottom w:type="dxa" w:w="60"/>
              <w:right w:type="dxa" w:w="100"/>
            </w:tcMar>
          </w:tcPr>
          <w:p>
            <w:pPr>
              <w:spacing w:after="0"/>
            </w:pPr>
            <w:r>
              <w:rPr>
                <w:sz w:val="19"/>
                <w:szCs w:val="19"/>
              </w:rPr>
              <w:t xml:space="preserve">24</w:t>
            </w:r>
          </w:p>
        </w:tc>
        <w:tc>
          <w:tcPr>
            <w:tcMar>
              <w:top w:type="dxa" w:w="60"/>
              <w:left w:type="dxa" w:w="100"/>
              <w:bottom w:type="dxa" w:w="60"/>
              <w:right w:type="dxa" w:w="100"/>
            </w:tcMar>
          </w:tcPr>
          <w:p>
            <w:pPr>
              <w:spacing w:after="0"/>
            </w:pPr>
            <w:r>
              <w:rPr>
                <w:sz w:val="19"/>
                <w:szCs w:val="19"/>
              </w:rPr>
              <w:t xml:space="preserve">Install engineered wood flooring to match existing</w:t>
            </w:r>
          </w:p>
        </w:tc>
        <w:tc>
          <w:tcPr>
            <w:tcMar>
              <w:top w:type="dxa" w:w="60"/>
              <w:left w:type="dxa" w:w="100"/>
              <w:bottom w:type="dxa" w:w="60"/>
              <w:right w:type="dxa" w:w="100"/>
            </w:tcMar>
          </w:tcPr>
          <w:p>
            <w:pPr>
              <w:spacing w:after="0"/>
            </w:pPr>
            <w:r>
              <w:rPr>
                <w:sz w:val="19"/>
                <w:szCs w:val="19"/>
              </w:rPr>
              <w:t xml:space="preserve">116</w:t>
            </w:r>
          </w:p>
        </w:tc>
        <w:tc>
          <w:tcPr>
            <w:tcMar>
              <w:top w:type="dxa" w:w="60"/>
              <w:left w:type="dxa" w:w="100"/>
              <w:bottom w:type="dxa" w:w="60"/>
              <w:right w:type="dxa" w:w="100"/>
            </w:tcMar>
          </w:tcPr>
          <w:p>
            <w:pPr>
              <w:spacing w:after="0"/>
            </w:pPr>
            <w:r>
              <w:rPr>
                <w:sz w:val="19"/>
                <w:szCs w:val="19"/>
              </w:rPr>
              <w:t xml:space="preserve">SF</w:t>
            </w:r>
          </w:p>
        </w:tc>
      </w:tr>
      <w:tr>
        <w:trPr>
          <w:tblHeader w:val="false"/>
        </w:trPr>
        <w:tc>
          <w:tcPr>
            <w:tcMar>
              <w:top w:type="dxa" w:w="60"/>
              <w:left w:type="dxa" w:w="100"/>
              <w:bottom w:type="dxa" w:w="60"/>
              <w:right w:type="dxa" w:w="100"/>
            </w:tcMar>
          </w:tcPr>
          <w:p>
            <w:pPr>
              <w:spacing w:after="0"/>
            </w:pPr>
            <w:r>
              <w:rPr>
                <w:sz w:val="19"/>
                <w:szCs w:val="19"/>
              </w:rPr>
              <w:t xml:space="preserve">25</w:t>
            </w:r>
          </w:p>
        </w:tc>
        <w:tc>
          <w:tcPr>
            <w:tcMar>
              <w:top w:type="dxa" w:w="60"/>
              <w:left w:type="dxa" w:w="100"/>
              <w:bottom w:type="dxa" w:w="60"/>
              <w:right w:type="dxa" w:w="100"/>
            </w:tcMar>
          </w:tcPr>
          <w:p>
            <w:pPr>
              <w:spacing w:after="0"/>
            </w:pPr>
            <w:r>
              <w:rPr>
                <w:sz w:val="19"/>
                <w:szCs w:val="19"/>
              </w:rPr>
              <w:t xml:space="preserve">Seal and paint gypsum and base, two coats</w:t>
            </w:r>
          </w:p>
        </w:tc>
        <w:tc>
          <w:tcPr>
            <w:tcMar>
              <w:top w:type="dxa" w:w="60"/>
              <w:left w:type="dxa" w:w="100"/>
              <w:bottom w:type="dxa" w:w="60"/>
              <w:right w:type="dxa" w:w="100"/>
            </w:tcMar>
          </w:tcPr>
          <w:p>
            <w:pPr>
              <w:spacing w:after="0"/>
            </w:pPr>
            <w:r>
              <w:rPr>
                <w:sz w:val="19"/>
                <w:szCs w:val="19"/>
              </w:rPr>
              <w:t xml:space="preserve">30</w:t>
            </w:r>
          </w:p>
        </w:tc>
        <w:tc>
          <w:tcPr>
            <w:tcMar>
              <w:top w:type="dxa" w:w="60"/>
              <w:left w:type="dxa" w:w="100"/>
              <w:bottom w:type="dxa" w:w="60"/>
              <w:right w:type="dxa" w:w="100"/>
            </w:tcMar>
          </w:tcPr>
          <w:p>
            <w:pPr>
              <w:spacing w:after="0"/>
            </w:pPr>
            <w:r>
              <w:rPr>
                <w:sz w:val="19"/>
                <w:szCs w:val="19"/>
              </w:rPr>
              <w:t xml:space="preserve">LF</w:t>
            </w:r>
          </w:p>
        </w:tc>
      </w:tr>
    </w:tbl>
    <w:p/>
    <w:p>
      <w:pPr>
        <w:spacing w:after="120"/>
      </w:pPr>
      <w:r>
        <w:t xml:space="preserve">Total drywall removal across rooms 2 and 3: 31 LF, which is the figure carried forward to the report on this claim. The utility closet is stated separately and in SF, because a 5 ft 4 in by 3 ft closet stripped on all four walls is measured by area rather than by run; adding its perimeter to the 31 LF would double-count against a number the rest of the file uses as a wall run.</w:t>
      </w:r>
    </w:p>
    <w:p/>
    <w:p>
      <w:pPr>
        <w:pStyle w:val="Heading2"/>
      </w:pPr>
      <w:r>
        <w:t xml:space="preserve">Measurements and how they were taken</w:t>
      </w:r>
    </w:p>
    <w:p>
      <w:pPr>
        <w:spacing w:after="120"/>
      </w:pPr>
      <w:r>
        <w:t xml:space="preserve">Wall runs measured at the base with a 25 ft steel tape, along the face of the finished wall, corner to corner. Room dimensions taken with a laser at 4 ft above slab, wall face to wall face.</w:t>
      </w:r>
    </w:p>
    <w:p/>
    <w:p>
      <w:pPr>
        <w:spacing w:after="120"/>
      </w:pPr>
      <w:r>
        <w:t xml:space="preserve">The wet line was established by meter rather than by eye. Visible wicking on the painted gypsum stopped at approximately 14 in above slab along the affected run. Delmhorst BD-2100, wood scale, on the slab at 4, 8, 12 and 16 ft from the closet: 18.4%, 16.1%, 14.8%, 11.2%. Baseline in Bedroom 2, approximately 40 ft from the source: 9.6%.</w:t>
      </w:r>
    </w:p>
    <w:p/>
    <w:p>
      <w:pPr>
        <w:spacing w:after="120"/>
      </w:pPr>
      <w:r>
        <w:t xml:space="preserve">Removal height is specified at 24 in rather than at the 14 in wicking line: 24 in is the next standard cut above the highest wet reading, and cutting at 14 in leaves an unsupported edge mid-sheet. The measured damage boundary and the scoped cut height are therefore different numbers, and both are recorded so that neither is mistaken for the other.</w:t>
      </w:r>
    </w:p>
    <w:p/>
    <w:p>
      <w:pPr>
        <w:spacing w:after="120"/>
      </w:pPr>
      <w:r>
        <w:t xml:space="preserve">Flooring quantities are taken two different ways and the difference is deliberate. The hallway is scoped at its gross area, 90 SF, because the run is 4 ft wide and the wet boundary crosses it; there is no partial replacement of a corridor that does not show. The living room is scoped at 116 SF, measured to the wet boundary rather than to the walls, on a room of 232 SF. That boundary is the quantity the insured disputes — see sign-off — and it is left as measured rather than adjusted to accommodate the dispute.</w:t>
      </w:r>
    </w:p>
    <w:p/>
    <w:p>
      <w:pPr>
        <w:pStyle w:val="Heading2"/>
      </w:pPr>
      <w:r>
        <w:t xml:space="preserve">Notes, exclusions and undetermined items</w:t>
      </w:r>
    </w:p>
    <w:p>
      <w:pPr>
        <w:spacing w:after="120"/>
      </w:pPr>
      <w:r>
        <w:t xml:space="preserve">Notes</w:t>
      </w:r>
    </w:p>
    <w:p>
      <w:pPr>
        <w:spacing w:after="120"/>
      </w:pPr>
      <w:r>
        <w:t xml:space="preserve">- The dwelling is on slab. No crawlspace, no subfloor, no under-floor cavity to inspect.</w:t>
      </w:r>
    </w:p>
    <w:p>
      <w:pPr>
        <w:spacing w:after="120"/>
      </w:pPr>
      <w:r>
        <w:t xml:space="preserve">- Restoration vendor attended on 14 July, the day of discovery, and placed air movers; the equipment was collected on the morning of 18 July, before this inspection. Nothing was cut or removed. The readings above were therefore taken after four days of drying and are lower than they would have been at discovery.</w:t>
      </w:r>
    </w:p>
    <w:p>
      <w:pPr>
        <w:spacing w:after="120"/>
      </w:pPr>
      <w:r>
        <w:t xml:space="preserve">- Access to the utility closet is through a 28 in door; the water heater must be detached and reset for any work on lines 2 to 8.</w:t>
      </w:r>
    </w:p>
    <w:p/>
    <w:p>
      <w:pPr>
        <w:spacing w:after="120"/>
      </w:pPr>
      <w:r>
        <w:t xml:space="preserve">Excluded from this scope</w:t>
      </w:r>
    </w:p>
    <w:p>
      <w:pPr>
        <w:spacing w:after="120"/>
      </w:pPr>
      <w:r>
        <w:t xml:space="preserve">- Contents. Fourteen cartons of water-stained books are on the contents inventory, not here.</w:t>
      </w:r>
    </w:p>
    <w:p>
      <w:pPr>
        <w:spacing w:after="120"/>
      </w:pPr>
      <w:r>
        <w:t xml:space="preserve">- Detached garage. Inspected, no damage observed, nothing scoped.</w:t>
      </w:r>
    </w:p>
    <w:p>
      <w:pPr>
        <w:spacing w:after="120"/>
      </w:pPr>
      <w:r>
        <w:t xml:space="preserve">- The water heater itself. Inspected, undamaged, nothing scoped. It is detached and reset under line 1 for access only.</w:t>
      </w:r>
    </w:p>
    <w:p>
      <w:pPr>
        <w:spacing w:after="120"/>
      </w:pPr>
      <w:r>
        <w:t xml:space="preserve">- Kitchen and both bedrooms. Inspected, at baseline, nothing scoped.</w:t>
      </w:r>
    </w:p>
    <w:p/>
    <w:p>
      <w:pPr>
        <w:spacing w:after="120"/>
      </w:pPr>
      <w:r>
        <w:t xml:space="preserve">Undetermined</w:t>
      </w:r>
    </w:p>
    <w:p>
      <w:pPr>
        <w:spacing w:after="120"/>
      </w:pPr>
      <w:r>
        <w:t xml:space="preserve">- Flooring beneath the base cabinet in the utility closet. Cannot be established without detaching the cabinet, which was not authorised at inspection. Approximately 6 SF is at issue. Entered as undetermined, not as zero. To be confirmed when the closet is opened for line 1; owner R. Calloway, target 8 August 2026.</w:t>
      </w:r>
    </w:p>
    <w:p>
      <w:pPr>
        <w:spacing w:after="120"/>
      </w:pPr>
      <w:r>
        <w:t xml:space="preserve">- Insulation in the affected wall cavity, rooms 2 and 3. The south wall is an exterior wall; whether the cavity insulation is wet cannot be determined until the gypsum is removed under lines 10 and 18. If wet, add removal and replacement at approximately 31 LF. Owner R. Calloway, to be confirmed at demolition.</w:t>
      </w:r>
    </w:p>
    <w:p/>
    <w:p>
      <w:pPr>
        <w:pStyle w:val="Heading2"/>
      </w:pPr>
      <w:r>
        <w:t xml:space="preserve">Photograph and diagram keys</w:t>
      </w:r>
    </w:p>
    <w:p>
      <w:pPr>
        <w:spacing w:after="120"/>
      </w:pPr>
      <w:r>
        <w:t xml:space="preserve">Photographs 11 to 26 are keyed to line numbers. Specifically: 11-18 the wicking line along lines 10 and 18; 19-22 the cupped flooring at lines 11 and 20; 23-24 the closet at lines 2 to 4; 25-26 the shelving at line 19. Photographs 27 and 28 are the detached garage, recorded as inspected and undamaged.</w:t>
      </w:r>
    </w:p>
    <w:p/>
    <w:p>
      <w:pPr>
        <w:spacing w:after="120"/>
      </w:pPr>
      <w:r>
        <w:t xml:space="preserve">Sketch: HarbourLane_scope_r1.pdf. Dimensioned floor plan of rooms 1 to 3, showing the four moisture reading locations with their values, the 31 LF of affected wall marked, and line numbers annotated at each scoped element.</w:t>
      </w:r>
    </w:p>
    <w:p/>
    <w:p>
      <w:pPr>
        <w:pStyle w:val="Heading2"/>
      </w:pPr>
      <w:r>
        <w:t xml:space="preserve">Sign-off and revision control</w:t>
      </w:r>
    </w:p>
    <w:p>
      <w:pPr>
        <w:spacing w:after="120"/>
      </w:pPr>
      <w:r>
        <w:t xml:space="preserve">Prepared by R. Calloway, 18 July 2026, revision 1.</w:t>
      </w:r>
    </w:p>
    <w:p/>
    <w:p>
      <w:pPr>
        <w:spacing w:after="120"/>
      </w:pPr>
      <w:r>
        <w:t xml:space="preserve">Walked with the insured, D. Okonjo, who was present for the full inspection. Lines 1 to 25 were read back to him on site. He agreed all quantities with one exception: he considers the living room flooring should extend to the full room, 232 SF, rather than stopping at the wet boundary, on the basis that a partial replacement will show. Line 20 is scoped at 116 SF as measured; his position is recorded here rather than absorbed into the quantity, and it is a scope question to be resolved before pricing.</w:t>
      </w:r>
    </w:p>
    <w:p/>
    <w:p>
      <w:pPr>
        <w:spacing w:after="120"/>
      </w:pPr>
      <w:r>
        <w:t xml:space="preserve">This scope contains no pricing. Quantities only. Pricing is prepared separately against these line numbers, and any change to a quantity is issued as a new revision of this sheet rather than as an amendment to the estimate.</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claims.professionaldrafter.com/investigation-and-scope/scope-sheet/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Scope 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Sheet Template &amp; Example (Scope of Loss)</dc:title>
  <dc:creator>Adjuster Report Library</dc:creator>
  <dc:description>A room-ordered, price-free scope sheet with numbered line items and QTY / UNIT columns, plus a filled example from a water loss. Free Word download, no signup.</dc:description>
  <cp:lastModifiedBy>Un-named</cp:lastModifiedBy>
  <cp:revision>1</cp:revision>
  <dcterms:created xsi:type="dcterms:W3CDTF">2026-10-13T13:35:08.746Z</dcterms:created>
  <dcterms:modified xsi:type="dcterms:W3CDTF">2026-10-13T13:35:08.746Z</dcterms:modified>
</cp:coreProperties>
</file>

<file path=docProps/custom.xml><?xml version="1.0" encoding="utf-8"?>
<Properties xmlns="http://schemas.openxmlformats.org/officeDocument/2006/custom-properties" xmlns:vt="http://schemas.openxmlformats.org/officeDocument/2006/docPropsVTypes"/>
</file>