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Statement of Loss</w:t>
      </w:r>
    </w:p>
    <w:p>
      <w:pPr>
        <w:spacing w:after="120"/>
      </w:pPr>
      <w:r>
        <w:rPr>
          <w:i/>
          <w:iCs/>
          <w:sz w:val="20"/>
          <w:szCs w:val="20"/>
        </w:rPr>
        <w:t xml:space="preserve">Fillable template. Everything highlighted in yellow is yours to replace — 16 places in this document. Delete anything that does not apply to your file. If any yellow is left, it is not finished.</w:t>
      </w:r>
    </w:p>
    <w:p>
      <w:pPr>
        <w:spacing w:after="120"/>
      </w:pPr>
      <w:r>
        <w:rPr>
          <w:i/>
          <w:iCs/>
          <w:sz w:val="20"/>
          <w:szCs w:val="20"/>
        </w:rPr>
        <w:t xml:space="preserve">A completed example of this document is on page 2. Section-by-section guidance: claims.professionaldrafter.com/settlement-and-closing/statement-of-loss/</w:t>
      </w:r>
    </w:p>
    <w:p/>
    <w:p>
      <w:pPr>
        <w:pStyle w:val="Heading2"/>
      </w:pPr>
      <w:r>
        <w:t xml:space="preserve">Header</w:t>
      </w:r>
    </w:p>
    <w:p>
      <w:pPr>
        <w:spacing w:after="120"/>
      </w:pPr>
      <w:r>
        <w:rPr>
          <w:i/>
          <w:iCs/>
          <w:sz w:val="18"/>
          <w:szCs w:val="18"/>
        </w:rPr>
        <w:t xml:space="preserve">Insured, claim number, policy number, date of loss, peril, adjuster and the date the statement was prepared. The preparation date matters more here than on most documents, because a statement of loss is usually superseded at least once and the file needs to show which version was current when a payment issued.</w:t>
      </w:r>
    </w:p>
    <w:p>
      <w:pPr>
        <w:spacing w:after="120"/>
      </w:pPr>
      <w:r>
        <w:t xml:space="preserve">Insured: </w:t>
      </w:r>
      <w:r>
        <w:rPr>
          <w:highlight w:val="yellow"/>
          <w:highlightCs w:val="yellow"/>
        </w:rPr>
        <w:t xml:space="preserve">[ ______________________ ]</w:t>
      </w:r>
    </w:p>
    <w:p>
      <w:pPr>
        <w:spacing w:after="120"/>
      </w:pPr>
      <w:r>
        <w:t xml:space="preserve">Claim number: </w:t>
      </w:r>
      <w:r>
        <w:rPr>
          <w:highlight w:val="yellow"/>
          <w:highlightCs w:val="yellow"/>
        </w:rPr>
        <w:t xml:space="preserve">[ ______________________ ]</w:t>
      </w:r>
    </w:p>
    <w:p>
      <w:pPr>
        <w:spacing w:after="120"/>
      </w:pPr>
      <w:r>
        <w:t xml:space="preserve">Policy number: </w:t>
      </w:r>
      <w:r>
        <w:rPr>
          <w:highlight w:val="yellow"/>
          <w:highlightCs w:val="yellow"/>
        </w:rPr>
        <w:t xml:space="preserve">[ ______________________ ]</w:t>
      </w:r>
    </w:p>
    <w:p>
      <w:pPr>
        <w:spacing w:after="120"/>
      </w:pPr>
      <w:r>
        <w:t xml:space="preserve">Date of loss: </w:t>
      </w:r>
      <w:r>
        <w:rPr>
          <w:highlight w:val="yellow"/>
          <w:highlightCs w:val="yellow"/>
        </w:rPr>
        <w:t xml:space="preserve">[ ______________________ ]</w:t>
      </w:r>
    </w:p>
    <w:p>
      <w:pPr>
        <w:spacing w:after="120"/>
      </w:pPr>
      <w:r>
        <w:t xml:space="preserve">Prepared by / date: </w:t>
      </w:r>
      <w:r>
        <w:rPr>
          <w:highlight w:val="yellow"/>
          <w:highlightCs w:val="yellow"/>
        </w:rPr>
        <w:t xml:space="preserve">[ ______________________ ]</w:t>
      </w:r>
    </w:p>
    <w:p>
      <w:pPr>
        <w:spacing w:after="120"/>
      </w:pPr>
      <w:r>
        <w:rPr>
          <w:highlight w:val="yellow"/>
          <w:highlightCs w:val="yellow"/>
        </w:rPr>
        <w:t xml:space="preserve">[Insured: &lt;name&gt;. Claim No. &lt;number&gt;. Policy No. &lt;number&gt;. Date of loss: &lt;date&gt;. Peril: &lt;peril&gt;. Prepared by &lt;adjuster&gt; on &lt;date&gt;. Supersedes the statement of loss dated &lt;date&gt;, if any.]</w:t>
      </w:r>
    </w:p>
    <w:p/>
    <w:p>
      <w:pPr>
        <w:pStyle w:val="Heading2"/>
      </w:pPr>
      <w:r>
        <w:t xml:space="preserve">Column 1 — Insurance</w:t>
      </w:r>
    </w:p>
    <w:p>
      <w:pPr>
        <w:spacing w:after="120"/>
      </w:pPr>
      <w:r>
        <w:rPr>
          <w:i/>
          <w:iCs/>
          <w:sz w:val="18"/>
          <w:szCs w:val="18"/>
        </w:rPr>
        <w:t xml:space="preserve">The limit applicable to each coverage as written, before anything is subtracted. Take it from the declarations page in force at the date of loss, not from the renewal or the quote. Where a coverage has an internal sublimit that could bind the claim, such as a special limit on a category of personal property or a percentage cap on other structures, show the sublimit on the same line rather than in a footnote, because a limit that binds is the fact most likely to change the settlement.</w:t>
      </w:r>
    </w:p>
    <w:p>
      <w:pPr>
        <w:spacing w:after="120"/>
      </w:pPr>
      <w:r>
        <w:rPr>
          <w:highlight w:val="yellow"/>
          <w:highlightCs w:val="yellow"/>
        </w:rPr>
        <w:t xml:space="preserve">[For each coverage: limit as written at the date of loss, any applicable sublimit, and the source (declarations page dated &lt;date&gt;).]</w:t>
      </w:r>
    </w:p>
    <w:p>
      <w:pPr>
        <w:pStyle w:val="ListParagraph"/>
        <w:numPr>
          <w:ilvl w:val="0"/>
          <w:numId w:val="1"/>
        </w:numPr>
        <w:spacing w:after="80"/>
      </w:pPr>
      <w:r>
        <w:t xml:space="preserve">Coverage A — Dwelling: $&lt;limit&gt;</w:t>
      </w:r>
    </w:p>
    <w:p>
      <w:pPr>
        <w:pStyle w:val="ListParagraph"/>
        <w:numPr>
          <w:ilvl w:val="0"/>
          <w:numId w:val="1"/>
        </w:numPr>
        <w:spacing w:after="80"/>
      </w:pPr>
      <w:r>
        <w:t xml:space="preserve">Coverage B — Other structures: $&lt;limit&gt;</w:t>
      </w:r>
    </w:p>
    <w:p>
      <w:pPr>
        <w:pStyle w:val="ListParagraph"/>
        <w:numPr>
          <w:ilvl w:val="0"/>
          <w:numId w:val="1"/>
        </w:numPr>
        <w:spacing w:after="80"/>
      </w:pPr>
      <w:r>
        <w:t xml:space="preserve">Coverage C — Personal property: $&lt;limit&gt;, sublimits: &lt;list&gt;</w:t>
      </w:r>
    </w:p>
    <w:p>
      <w:pPr>
        <w:pStyle w:val="ListParagraph"/>
        <w:numPr>
          <w:ilvl w:val="0"/>
          <w:numId w:val="1"/>
        </w:numPr>
        <w:spacing w:after="80"/>
      </w:pPr>
      <w:r>
        <w:t xml:space="preserve">Coverage D — Loss of use: $&lt;limit or basis&gt;</w:t>
      </w:r>
    </w:p>
    <w:p>
      <w:pPr>
        <w:pStyle w:val="ListParagraph"/>
        <w:numPr>
          <w:ilvl w:val="0"/>
          <w:numId w:val="1"/>
        </w:numPr>
        <w:spacing w:after="80"/>
      </w:pPr>
      <w:r>
        <w:t xml:space="preserve">Deductible: $&lt;amount&gt;, applied &lt;how&gt;</w:t>
      </w:r>
    </w:p>
    <w:p/>
    <w:p>
      <w:pPr>
        <w:pStyle w:val="Heading2"/>
      </w:pPr>
      <w:r>
        <w:t xml:space="preserve">Column 2 — Loss</w:t>
      </w:r>
    </w:p>
    <w:p>
      <w:pPr>
        <w:spacing w:after="120"/>
      </w:pPr>
      <w:r>
        <w:rPr>
          <w:i/>
          <w:iCs/>
          <w:sz w:val="18"/>
          <w:szCs w:val="18"/>
        </w:rPr>
        <w:t xml:space="preserve">What the loss actually is, by coverage, on both a replacement cost and an actual cash value basis where the policy distinguishes them. Each figure needs a traceable source: the estimate of a stated date, the contents inventory of a stated date, an invoice number. A figure with no source is the one that gets rebuilt from scratch by the next person to touch the file, and their rebuild will not match yours.</w:t>
      </w:r>
    </w:p>
    <w:p>
      <w:pPr>
        <w:spacing w:after="120"/>
      </w:pPr>
      <w:r>
        <w:rPr>
          <w:highlight w:val="yellow"/>
          <w:highlightCs w:val="yellow"/>
        </w:rPr>
        <w:t xml:space="preserve">[For each coverage: replacement cost value, depreciation, actual cash value, and the document each figure comes from.]</w:t>
      </w:r>
    </w:p>
    <w:p>
      <w:pPr>
        <w:pStyle w:val="ListParagraph"/>
        <w:numPr>
          <w:ilvl w:val="0"/>
          <w:numId w:val="1"/>
        </w:numPr>
        <w:spacing w:after="80"/>
      </w:pPr>
      <w:r>
        <w:t xml:space="preserve">RCV $&lt;amount&gt; — source: &lt;estimate/inventory and date&gt;</w:t>
      </w:r>
    </w:p>
    <w:p>
      <w:pPr>
        <w:pStyle w:val="ListParagraph"/>
        <w:numPr>
          <w:ilvl w:val="0"/>
          <w:numId w:val="1"/>
        </w:numPr>
        <w:spacing w:after="80"/>
      </w:pPr>
      <w:r>
        <w:t xml:space="preserve">Less depreciation $&lt;amount&gt; — basis: &lt;method, and what was and was not depreciated&gt;</w:t>
      </w:r>
    </w:p>
    <w:p>
      <w:pPr>
        <w:pStyle w:val="ListParagraph"/>
        <w:numPr>
          <w:ilvl w:val="0"/>
          <w:numId w:val="1"/>
        </w:numPr>
        <w:spacing w:after="80"/>
      </w:pPr>
      <w:r>
        <w:t xml:space="preserve">ACV $&lt;amount&gt;</w:t>
      </w:r>
    </w:p>
    <w:p/>
    <w:p>
      <w:pPr>
        <w:pStyle w:val="Heading2"/>
      </w:pPr>
      <w:r>
        <w:t xml:space="preserve">Column 3 — Claim</w:t>
      </w:r>
    </w:p>
    <w:p>
      <w:pPr>
        <w:spacing w:after="120"/>
      </w:pPr>
      <w:r>
        <w:rPr>
          <w:i/>
          <w:iCs/>
          <w:sz w:val="18"/>
          <w:szCs w:val="18"/>
        </w:rPr>
        <w:t xml:space="preserve">The amount claimed or recommended for each coverage, after the deductible and after credit for anything already paid. This column is the one that becomes a payment instruction, so it should never contain a number that cannot be derived from the two columns to its left. Where a line is undetermined, write undetermined and say what would settle it. A blank in this column reads as zero to everyone downstream.</w:t>
      </w:r>
    </w:p>
    <w:p>
      <w:pPr>
        <w:spacing w:after="120"/>
      </w:pPr>
      <w:r>
        <w:rPr>
          <w:highlight w:val="yellow"/>
          <w:highlightCs w:val="yellow"/>
        </w:rPr>
        <w:t xml:space="preserve">[For each coverage: amount recommended, less deductible, less advances or prior payments, equals amount now payable. Undetermined lines stated as undetermined, with what is outstanding.]</w:t>
      </w:r>
    </w:p>
    <w:p>
      <w:pPr>
        <w:pStyle w:val="ListParagraph"/>
        <w:numPr>
          <w:ilvl w:val="0"/>
          <w:numId w:val="1"/>
        </w:numPr>
        <w:spacing w:after="80"/>
      </w:pPr>
      <w:r>
        <w:t xml:space="preserve">Amount recommended $&lt;amount&gt;</w:t>
      </w:r>
    </w:p>
    <w:p>
      <w:pPr>
        <w:pStyle w:val="ListParagraph"/>
        <w:numPr>
          <w:ilvl w:val="0"/>
          <w:numId w:val="1"/>
        </w:numPr>
        <w:spacing w:after="80"/>
      </w:pPr>
      <w:r>
        <w:t xml:space="preserve">Less deductible $&lt;amount&gt; (applied to &lt;which line&gt;)</w:t>
      </w:r>
    </w:p>
    <w:p>
      <w:pPr>
        <w:pStyle w:val="ListParagraph"/>
        <w:numPr>
          <w:ilvl w:val="0"/>
          <w:numId w:val="1"/>
        </w:numPr>
        <w:spacing w:after="80"/>
      </w:pPr>
      <w:r>
        <w:t xml:space="preserve">Less prior payments $&lt;amount&gt; (draft &lt;number&gt;, dated &lt;date&gt;)</w:t>
      </w:r>
    </w:p>
    <w:p>
      <w:pPr>
        <w:pStyle w:val="ListParagraph"/>
        <w:numPr>
          <w:ilvl w:val="0"/>
          <w:numId w:val="1"/>
        </w:numPr>
        <w:spacing w:after="80"/>
      </w:pPr>
      <w:r>
        <w:t xml:space="preserve">Net now payable $&lt;amount&gt;</w:t>
      </w:r>
    </w:p>
    <w:p>
      <w:pPr>
        <w:pStyle w:val="ListParagraph"/>
        <w:numPr>
          <w:ilvl w:val="0"/>
          <w:numId w:val="1"/>
        </w:numPr>
        <w:spacing w:after="80"/>
      </w:pPr>
      <w:r>
        <w:t xml:space="preserve">Withheld recoverable depreciation $&lt;amount&gt;, releasable on &lt;condition&gt;</w:t>
      </w:r>
    </w:p>
    <w:p/>
    <w:p>
      <w:pPr>
        <w:pStyle w:val="Heading2"/>
      </w:pPr>
      <w:r>
        <w:t xml:space="preserve">Reconciliation and totals</w:t>
      </w:r>
    </w:p>
    <w:p>
      <w:pPr>
        <w:spacing w:after="120"/>
      </w:pPr>
      <w:r>
        <w:rPr>
          <w:i/>
          <w:iCs/>
          <w:sz w:val="18"/>
          <w:szCs w:val="18"/>
        </w:rPr>
        <w:t xml:space="preserve">One block that adds the columns and states the totals in words a reviewer can check in ten seconds: total insurance available, total loss, total claimed, total already paid, balance now payable. If the totals do not tie to the sum of the lines, the statement is not finished. This is also where the deductible is confirmed as applied once, or as applied per the provision, so that nothing later applies it again.</w:t>
      </w:r>
    </w:p>
    <w:p>
      <w:pPr>
        <w:spacing w:after="120"/>
      </w:pPr>
      <w:r>
        <w:t xml:space="preserve">Total loss (RCV): </w:t>
      </w:r>
      <w:r>
        <w:rPr>
          <w:highlight w:val="yellow"/>
          <w:highlightCs w:val="yellow"/>
        </w:rPr>
        <w:t xml:space="preserve">[ ______________________ ]</w:t>
      </w:r>
    </w:p>
    <w:p>
      <w:pPr>
        <w:spacing w:after="120"/>
      </w:pPr>
      <w:r>
        <w:t xml:space="preserve">Total loss (ACV): </w:t>
      </w:r>
      <w:r>
        <w:rPr>
          <w:highlight w:val="yellow"/>
          <w:highlightCs w:val="yellow"/>
        </w:rPr>
        <w:t xml:space="preserve">[ ______________________ ]</w:t>
      </w:r>
    </w:p>
    <w:p>
      <w:pPr>
        <w:spacing w:after="120"/>
      </w:pPr>
      <w:r>
        <w:t xml:space="preserve">Prior payments: </w:t>
      </w:r>
      <w:r>
        <w:rPr>
          <w:highlight w:val="yellow"/>
          <w:highlightCs w:val="yellow"/>
        </w:rPr>
        <w:t xml:space="preserve">[ ______________________ ]</w:t>
      </w:r>
    </w:p>
    <w:p>
      <w:pPr>
        <w:spacing w:after="120"/>
      </w:pPr>
      <w:r>
        <w:t xml:space="preserve">Balance payable: </w:t>
      </w:r>
      <w:r>
        <w:rPr>
          <w:highlight w:val="yellow"/>
          <w:highlightCs w:val="yellow"/>
        </w:rPr>
        <w:t xml:space="preserve">[ ______________________ ]</w:t>
      </w:r>
    </w:p>
    <w:p>
      <w:pPr>
        <w:spacing w:after="120"/>
      </w:pPr>
      <w:r>
        <w:rPr>
          <w:highlight w:val="yellow"/>
          <w:highlightCs w:val="yellow"/>
        </w:rPr>
        <w:t xml:space="preserve">[Total insurance available $&lt;amount&gt;. Total loss RCV $&lt;amount&gt; / ACV $&lt;amount&gt;. Less deductible $&lt;amount&gt;, applied once. Less prior payments $&lt;amount&gt;. Balance now payable $&lt;amount&gt;.]</w:t>
      </w:r>
    </w:p>
    <w:p/>
    <w:p>
      <w:pPr>
        <w:pStyle w:val="Heading2"/>
      </w:pPr>
      <w:r>
        <w:t xml:space="preserve">Open items and basis notes</w:t>
      </w:r>
    </w:p>
    <w:p>
      <w:pPr>
        <w:spacing w:after="120"/>
      </w:pPr>
      <w:r>
        <w:rPr>
          <w:i/>
          <w:iCs/>
          <w:sz w:val="18"/>
          <w:szCs w:val="18"/>
        </w:rPr>
        <w:t xml:space="preserve">Anything that could move a figure, each with an owner and a date. Depreciation method, a supplement expected, an inventory still being priced, a coverage question not yet resolved. This section is what makes the statement of loss reviewable a year later, and it is the one most often left off. A clean statement with no open items on a claim that plainly has some is less credible than an untidy one that lists them.</w:t>
      </w:r>
    </w:p>
    <w:p>
      <w:pPr>
        <w:spacing w:after="120"/>
      </w:pPr>
      <w:r>
        <w:rPr>
          <w:highlight w:val="yellow"/>
          <w:highlightCs w:val="yellow"/>
        </w:rPr>
        <w:t xml:space="preserve">[Numbered list of open items, each with what is outstanding, who owns it, and the date requested or expected.]</w:t>
      </w:r>
    </w:p>
    <w:p/>
    <w:p>
      <w:pPr>
        <w:pStyle w:val="Heading2"/>
      </w:pPr>
      <w:r>
        <w:t xml:space="preserve">Relationship to the sworn proof of loss</w:t>
      </w:r>
    </w:p>
    <w:p>
      <w:pPr>
        <w:spacing w:after="120"/>
      </w:pPr>
      <w:r>
        <w:rPr>
          <w:i/>
          <w:iCs/>
          <w:sz w:val="18"/>
          <w:szCs w:val="18"/>
        </w:rPr>
        <w:t xml:space="preserve">State expressly whether a proof of loss has been furnished, when, and whether the figures on it agree with this statement. Where they differ, record the difference and its amount rather than reconciling silently. This single paragraph is what makes the ordering visible, and the ordering is the thing that gets reversed in practice.</w:t>
      </w:r>
    </w:p>
    <w:p>
      <w:pPr>
        <w:spacing w:after="120"/>
      </w:pPr>
      <w:r>
        <w:rPr>
          <w:highlight w:val="yellow"/>
          <w:highlightCs w:val="yellow"/>
        </w:rPr>
        <w:t xml:space="preserve">[Proof of loss furnished to the insured on &lt;date&gt;; executed on &lt;date&gt;; figures agree / differ as follows: &lt;difference and amount&gt;. Acceptance status: &lt;accepted / outstanding&gt;.]</w:t>
      </w:r>
    </w:p>
    <w:p/>
    <w:p>
      <w:pPr>
        <w:spacing w:before="240"/>
      </w:pPr>
      <w:r>
        <w:rPr>
          <w:i/>
          <w:iCs/>
          <w:sz w:val="18"/>
          <w:szCs w:val="18"/>
        </w:rPr>
        <w:t xml:space="preserve">This template is a general drafting aid. It is not legal advice and not a coverage opinion. Claim handling requirements vary by state, and the policy actually issued governs the claim. Adapt this to your file and your jurisdiction. Delete this notice before sending.</w:t>
      </w:r>
    </w:p>
    <w:p>
      <w:r>
        <w:br w:type="page"/>
      </w:r>
    </w:p>
    <w:p>
      <w:pPr>
        <w:pStyle w:val="Heading1"/>
      </w:pPr>
      <w:r>
        <w:t xml:space="preserve">Worked example</w:t>
      </w:r>
    </w:p>
    <w:p>
      <w:pPr>
        <w:pBdr>
          <w:left w:val="single" w:color="999999" w:sz="12" w:space="12"/>
        </w:pBdr>
        <w:spacing w:after="200"/>
      </w:pPr>
      <w:r>
        <w:rPr>
          <w:b/>
          <w:bCs/>
          <w:sz w:val="18"/>
          <w:szCs w:val="18"/>
        </w:rPr>
        <w:t xml:space="preserve">FICTIONAL — for illustration only. Every name, figure and date below is invented. Delete this whole section before you use the template above.</w:t>
      </w:r>
    </w:p>
    <w:p>
      <w:pPr>
        <w:spacing w:after="120"/>
      </w:pPr>
      <w:r>
        <w:rPr>
          <w:i/>
          <w:iCs/>
          <w:sz w:val="20"/>
          <w:szCs w:val="20"/>
        </w:rPr>
        <w:t xml:space="preserve">Fictional scenario: the statement of loss on the Harbour Lane water claim, PC-2026-11482, prepared before the sworn proof of loss was executed. One line is left as undetermined on purpose, and the statement goes to the examiner with it still open.</w:t>
      </w:r>
    </w:p>
    <w:p/>
    <w:p>
      <w:pPr>
        <w:pStyle w:val="Heading2"/>
      </w:pPr>
      <w:r>
        <w:t xml:space="preserve">Header</w:t>
      </w:r>
    </w:p>
    <w:p>
      <w:pPr>
        <w:spacing w:after="120"/>
      </w:pPr>
      <w:r>
        <w:t xml:space="preserve">Insured: D. Okonjo. Claim No. PC-2026-11482. Policy No. HO-4471903, term 1 March 2026 to 1 March 2027. Date of loss: reported 14 July 2026, discovered approximately 07:15. Peril: water, escape from a failed supply line. Prepared by R. Calloway on 25 July 2026. Examiner: C. Mendez. This supersedes the statement of loss dated 22 July 2026, which was furnished to the insured with the proof of loss form; it is revised only to record the advance payment issued 24 July 2026 and to update the open items. No figure in Column 1 or Column 2 has changed.</w:t>
      </w:r>
    </w:p>
    <w:p/>
    <w:p>
      <w:pPr>
        <w:pStyle w:val="Heading2"/>
      </w:pPr>
      <w:r>
        <w:t xml:space="preserve">Column 1 — Insurance</w:t>
      </w:r>
    </w:p>
    <w:p>
      <w:pPr>
        <w:spacing w:after="120"/>
      </w:pPr>
      <w:r>
        <w:t xml:space="preserve">From the declarations page in force at the date of loss:</w:t>
      </w:r>
    </w:p>
    <w:p/>
    <w:p>
      <w:pPr>
        <w:spacing w:after="120"/>
      </w:pPr>
      <w:r>
        <w:t xml:space="preserve">Coverage A, dwelling: $310,000.</w:t>
      </w:r>
    </w:p>
    <w:p>
      <w:pPr>
        <w:spacing w:after="120"/>
      </w:pPr>
      <w:r>
        <w:t xml:space="preserve">Coverage B, other structures: $31,000.</w:t>
      </w:r>
    </w:p>
    <w:p>
      <w:pPr>
        <w:spacing w:after="120"/>
      </w:pPr>
      <w:r>
        <w:t xml:space="preserve">Coverage C, unscheduled personal property: $155,000. Special limits apply to certain categories under the form; none of the property claimed falls within them, the claimed contents being stored books.</w:t>
      </w:r>
    </w:p>
    <w:p>
      <w:pPr>
        <w:spacing w:after="120"/>
      </w:pPr>
      <w:r>
        <w:t xml:space="preserve">Coverage D, additional living expense: actual loss sustained, 12 months.</w:t>
      </w:r>
    </w:p>
    <w:p>
      <w:pPr>
        <w:spacing w:after="120"/>
      </w:pPr>
      <w:r>
        <w:t xml:space="preserve">All-peril deductible: $2,500, applied once to this occurrence.</w:t>
      </w:r>
    </w:p>
    <w:p/>
    <w:p>
      <w:pPr>
        <w:spacing w:after="120"/>
      </w:pPr>
      <w:r>
        <w:t xml:space="preserve">No limit is approached on any line. No other insurance is in force on this risk.</w:t>
      </w:r>
    </w:p>
    <w:p/>
    <w:p>
      <w:pPr>
        <w:pStyle w:val="Heading2"/>
      </w:pPr>
      <w:r>
        <w:t xml:space="preserve">Column 2 — Loss</w:t>
      </w:r>
    </w:p>
    <w:p>
      <w:pPr>
        <w:spacing w:after="120"/>
      </w:pPr>
      <w:r>
        <w:t xml:space="preserve">Coverage A, dwelling. RCV $16,140, from the estimate dated 22 July 2026: 31 linear feet of drywall wet to 14 inches above slab, removed and replaced to 24 inches; base trim replaced; slab cleaned and dried; utility closet surround, 6 SF, removed and replaced; shelving in the affected run detached and reset. Depreciation $200, applied only to the base trim and the closet surround. ACV $15,940. Neither the drywall replacement nor the cleaning and drying was depreciated.</w:t>
      </w:r>
    </w:p>
    <w:p/>
    <w:p>
      <w:pPr>
        <w:spacing w:after="120"/>
      </w:pPr>
      <w:r>
        <w:t xml:space="preserve">Coverage B, other structures. Nil. The detached garage was inspected on 18 July 2026 and photographed; no water intrusion was found.</w:t>
      </w:r>
    </w:p>
    <w:p/>
    <w:p>
      <w:pPr>
        <w:spacing w:after="120"/>
      </w:pPr>
      <w:r>
        <w:t xml:space="preserve">Coverage C, personal property. RCV $2,200, from the inventory the insured provided on 18 July 2026: 14 cartons of stored books, water-stained to varying heights, photographed individually. Depreciation $250. ACV $1,950. Remaining contents on racking approximately six inches above slab were dry and are not claimed.</w:t>
      </w:r>
    </w:p>
    <w:p/>
    <w:p>
      <w:pPr>
        <w:spacing w:after="120"/>
      </w:pPr>
      <w:r>
        <w:t xml:space="preserve">Coverage D, additional living expense. Nil. The dwelling remained habitable throughout; kitchen, bathrooms and bedrooms were unaffected and the insured has not vacated.</w:t>
      </w:r>
    </w:p>
    <w:p/>
    <w:p>
      <w:pPr>
        <w:spacing w:after="120"/>
      </w:pPr>
      <w:r>
        <w:t xml:space="preserve">Totals: RCV $18,340, depreciation $450, ACV $17,890.</w:t>
      </w:r>
    </w:p>
    <w:p/>
    <w:p>
      <w:pPr>
        <w:pStyle w:val="Heading2"/>
      </w:pPr>
      <w:r>
        <w:t xml:space="preserve">Column 3 — Claim</w:t>
      </w:r>
    </w:p>
    <w:p>
      <w:pPr>
        <w:spacing w:after="120"/>
      </w:pPr>
      <w:r>
        <w:t xml:space="preserve">Coverage A: amount recommended $15,940 ACV. An advance of $6,500 gross was recommended on 22 July and issued 24 July 2026 as draft 771402; the $2,500 deductible was applied in full to that advance, so the draft issued at $4,000 net. Balance now payable under Coverage A: $9,440.</w:t>
      </w:r>
    </w:p>
    <w:p/>
    <w:p>
      <w:pPr>
        <w:spacing w:after="120"/>
      </w:pPr>
      <w:r>
        <w:t xml:space="preserve">Coverage B: nil.</w:t>
      </w:r>
    </w:p>
    <w:p/>
    <w:p>
      <w:pPr>
        <w:spacing w:after="120"/>
      </w:pPr>
      <w:r>
        <w:t xml:space="preserve">Coverage C: amount recommended $1,950 ACV. Nothing yet paid. Balance now payable: $1,950.</w:t>
      </w:r>
    </w:p>
    <w:p/>
    <w:p>
      <w:pPr>
        <w:spacing w:after="120"/>
      </w:pPr>
      <w:r>
        <w:t xml:space="preserve">Coverage D: nil, none claimed.</w:t>
      </w:r>
    </w:p>
    <w:p/>
    <w:p>
      <w:pPr>
        <w:spacing w:after="120"/>
      </w:pPr>
      <w:r>
        <w:t xml:space="preserve">Withheld recoverable depreciation: $450 across Coverages A and C, releasable on evidence that the repairs and replacement have been completed, in accordance with the replacement cost provision of the form.</w:t>
      </w:r>
    </w:p>
    <w:p/>
    <w:p>
      <w:pPr>
        <w:spacing w:after="120"/>
      </w:pPr>
      <w:r>
        <w:t xml:space="preserve">Subrogation recovery: undetermined. The file has been referred to recovery and any recovery would carry the deductible pro rata, but no figure is entered on this line because none exists. It is written as undetermined rather than left blank, since a blank in this column reads as nil.</w:t>
      </w:r>
    </w:p>
    <w:p/>
    <w:p>
      <w:pPr>
        <w:pStyle w:val="Heading2"/>
      </w:pPr>
      <w:r>
        <w:t xml:space="preserve">Reconciliation and totals</w:t>
      </w:r>
    </w:p>
    <w:p>
      <w:pPr>
        <w:spacing w:after="120"/>
      </w:pPr>
      <w:r>
        <w:t xml:space="preserve">Total insurance available on the affected coverages: $496,000 across A, B and C, plus Coverage D on an actual loss sustained basis. No limit is in issue.</w:t>
      </w:r>
    </w:p>
    <w:p/>
    <w:p>
      <w:pPr>
        <w:spacing w:after="120"/>
      </w:pPr>
      <w:r>
        <w:t xml:space="preserve">Total loss: $18,340 RCV, $17,890 ACV.</w:t>
      </w:r>
    </w:p>
    <w:p>
      <w:pPr>
        <w:spacing w:after="120"/>
      </w:pPr>
      <w:r>
        <w:t xml:space="preserve">Less deductible: $2,500, applied once, taken in full against the advance.</w:t>
      </w:r>
    </w:p>
    <w:p>
      <w:pPr>
        <w:spacing w:after="120"/>
      </w:pPr>
      <w:r>
        <w:t xml:space="preserve">Amount claimed on an ACV basis: $15,390.</w:t>
      </w:r>
    </w:p>
    <w:p>
      <w:pPr>
        <w:spacing w:after="120"/>
      </w:pPr>
      <w:r>
        <w:t xml:space="preserve">Less prior payments: $4,000, draft 771402 dated 24 July 2026.</w:t>
      </w:r>
    </w:p>
    <w:p>
      <w:pPr>
        <w:spacing w:after="120"/>
      </w:pPr>
      <w:r>
        <w:t xml:space="preserve">Balance now payable: $11,390.</w:t>
      </w:r>
    </w:p>
    <w:p>
      <w:pPr>
        <w:spacing w:after="120"/>
      </w:pPr>
      <w:r>
        <w:t xml:space="preserve">Plus withheld recoverable depreciation of $450, contingent on completion.</w:t>
      </w:r>
    </w:p>
    <w:p/>
    <w:p>
      <w:pPr>
        <w:spacing w:after="120"/>
      </w:pPr>
      <w:r>
        <w:t xml:space="preserve">Cross-check: $9,440 under Coverage A plus $1,950 under Coverage C is $11,390, which ties to the balance above. Indemnity reserve currently stands at $19,000 against an ACV exposure of $17,890; the gap is deliberate and carries the withheld depreciation of $450 plus $660 of margin for supplement, and is documented in the reserve rationale on the file. Expense reserve $2,500.</w:t>
      </w:r>
    </w:p>
    <w:p/>
    <w:p>
      <w:pPr>
        <w:pStyle w:val="Heading2"/>
      </w:pPr>
      <w:r>
        <w:t xml:space="preserve">Open items and basis notes</w:t>
      </w:r>
    </w:p>
    <w:p>
      <w:pPr>
        <w:spacing w:after="120"/>
      </w:pPr>
      <w:r>
        <w:t xml:space="preserve">1. Contents pricing. The inventory was provided 18 July and priced from the insured's own figures; two cartons of reference titles have no comparable listing and were valued conservatively. Requested a receipt or purchase record 18 July and chased by telephone today, 25 July; nothing received yet. R. Calloway.</w:t>
      </w:r>
    </w:p>
    <w:p/>
    <w:p>
      <w:pPr>
        <w:spacing w:after="120"/>
      </w:pPr>
      <w:r>
        <w:t xml:space="preserve">2. Duration of the water release. Not determined and not estimated. Last occupancy 18:00 on 11 July, discovery 07:15 on 14 July, an interval of roughly 61 hours. There is no water sub-meter on the property, municipal supply is billed quarterly with the next read due September, and there is no alarm or occupancy log. The repeated-seepage provision turns on duration, so the file records the interval and declines to estimate within it. Referred to the examiner 20 July; response outstanding at the date of this statement. C. Mendez.</w:t>
      </w:r>
    </w:p>
    <w:p/>
    <w:p>
      <w:pPr>
        <w:spacing w:after="120"/>
      </w:pPr>
      <w:r>
        <w:t xml:space="preserve">3. Subrogation. Water heater replaced 11 months before the loss by Feldstrom Plumbing, invoice 20941 dated 3 August 2025. The fitting and line have been retained, tagged and photographed. Referred to recovery 20 July. Any recovery affects the deductible line above but not the amounts recommended. Recovery unit.</w:t>
      </w:r>
    </w:p>
    <w:p/>
    <w:p>
      <w:pPr>
        <w:spacing w:after="120"/>
      </w:pPr>
      <w:r>
        <w:t xml:space="preserve">4. Supplement. None anticipated at the date of this statement, but the drywall is being opened to 24 inches and further affected material behind the run cannot be excluded until it is opened. Contractor to notify before proceeding beyond the scoped area.</w:t>
      </w:r>
    </w:p>
    <w:p/>
    <w:p>
      <w:pPr>
        <w:pStyle w:val="Heading2"/>
      </w:pPr>
      <w:r>
        <w:t xml:space="preserve">Relationship to the sworn proof of loss</w:t>
      </w:r>
    </w:p>
    <w:p>
      <w:pPr>
        <w:spacing w:after="120"/>
      </w:pPr>
      <w:r>
        <w:t xml:space="preserve">No sworn proof of loss has yet been executed. The form was furnished to the insured on 22 July 2026 under cover of a letter enclosing the statement of loss of that date and the estimate, so that the figures the insured is asked to swear to are the figures already derived and checked here. Acceptance status: outstanding.</w:t>
      </w:r>
    </w:p>
    <w:p/>
    <w:p>
      <w:pPr>
        <w:spacing w:after="120"/>
      </w:pPr>
      <w:r>
        <w:t xml:space="preserve">When the executed form is returned it will be checked line for line against this statement, and any difference recorded on the file by amount and reason rather than reconciled silently. The item at open item 2 above is expected to remain open at execution; it does not bear on any figure in Column 3, and the proof of loss should say what is known about the timing rather than resolve it.</w:t>
      </w:r>
    </w:p>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6"/>
        <w:szCs w:val="16"/>
      </w:rPr>
      <w:t xml:space="preserve">Page </w:t>
    </w:r>
    <w:r>
      <w:rPr>
        <w:sz w:val="16"/>
        <w:szCs w:val="16"/>
      </w:rPr>
      <w:fldChar w:fldCharType="begin"/>
      <w:instrText xml:space="preserve">PAGE</w:instrText>
      <w:fldChar w:fldCharType="separate"/>
      <w:fldChar w:fldCharType="end"/>
    </w:r>
    <w:r>
      <w:rPr>
        <w:sz w:val="16"/>
        <w:szCs w:val="16"/>
      </w:rPr>
      <w:t xml:space="preserve"> of </w:t>
    </w:r>
    <w:r>
      <w:rPr>
        <w:sz w:val="16"/>
        <w:szCs w:val="16"/>
      </w:rPr>
      <w:fldChar w:fldCharType="begin"/>
      <w:instrText xml:space="preserve">NUMPAGES</w:instrText>
      <w:fldChar w:fldCharType="separate"/>
      <w:fldChar w:fldCharType="end"/>
    </w:r>
    <w:r>
      <w:rPr>
        <w:i/>
        <w:iCs/>
        <w:sz w:val="16"/>
        <w:szCs w:val="16"/>
      </w:rPr>
      <w:t xml:space="preserve">   claims.professionaldrafter.com/settlement-and-closing/statement-of-loss/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sz w:val="16"/>
        <w:szCs w:val="16"/>
      </w:rPr>
      <w:t xml:space="preserve">Statement of Loss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Loss Template &amp; Example</dc:title>
  <dc:creator>Adjuster Report Library</dc:creator>
  <dc:description>The three-column statement of loss, insurance, loss and claim, with a filled-in example and the sequence that matters: it is completed before the sworn proof of loss is accepted.</dc:description>
  <cp:lastModifiedBy>Un-named</cp:lastModifiedBy>
  <cp:revision>1</cp:revision>
  <dcterms:created xsi:type="dcterms:W3CDTF">2026-10-13T13:35:09.079Z</dcterms:created>
  <dcterms:modified xsi:type="dcterms:W3CDTF">2026-10-13T13:35:09.079Z</dcterms:modified>
</cp:coreProperties>
</file>

<file path=docProps/custom.xml><?xml version="1.0" encoding="utf-8"?>
<Properties xmlns="http://schemas.openxmlformats.org/officeDocument/2006/custom-properties" xmlns:vt="http://schemas.openxmlformats.org/officeDocument/2006/docPropsVTypes"/>
</file>