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Subrogation Referral &amp; Demand Letter</w:t>
      </w:r>
    </w:p>
    <w:p>
      <w:pPr>
        <w:spacing w:after="120"/>
      </w:pPr>
      <w:r>
        <w:rPr>
          <w:i/>
          <w:iCs/>
          <w:sz w:val="20"/>
          <w:szCs w:val="20"/>
        </w:rPr>
        <w:t xml:space="preserve">Fillable template. Everything highlighted in yellow is yours to replace — 20 places in this document. Delete anything that does not apply to your file. If any yellow is left, it is not finished.</w:t>
      </w:r>
    </w:p>
    <w:p>
      <w:pPr>
        <w:spacing w:after="120"/>
      </w:pPr>
      <w:r>
        <w:rPr>
          <w:i/>
          <w:iCs/>
          <w:sz w:val="20"/>
          <w:szCs w:val="20"/>
        </w:rPr>
        <w:t xml:space="preserve">A completed example of this document is on page 2. Section-by-section guidance: claims.professionaldrafter.com/recovery/subrogation-referral/</w:t>
      </w:r>
    </w:p>
    <w:p/>
    <w:p>
      <w:pPr>
        <w:pStyle w:val="Heading2"/>
      </w:pPr>
      <w:r>
        <w:t xml:space="preserve">Referral header and claim identification</w:t>
      </w:r>
    </w:p>
    <w:p>
      <w:pPr>
        <w:spacing w:after="120"/>
      </w:pPr>
      <w:r>
        <w:rPr>
          <w:i/>
          <w:iCs/>
          <w:sz w:val="18"/>
          <w:szCs w:val="18"/>
        </w:rPr>
        <w:t xml:space="preserve">The recovery unit is not in your file. Give them the identifiers they need to pull it and the numbers they need to size it, on one screen: claim and policy number, insured, loss date, loss type, adjuster and examiner, amount paid to date, amount reserved, and the deductible. The deductible belongs here because carriers routinely pursue it alongside their own outlay, and a demand that omits the insured's out-of-pocket is a demand that has to be amended. How a recovery is then shared between insurer and insured, if it comes in short, turns on state law and is not a field decision: record the figure and let the recovery unit apply it.</w:t>
      </w:r>
    </w:p>
    <w:p>
      <w:pPr>
        <w:spacing w:after="120"/>
      </w:pPr>
      <w:r>
        <w:t xml:space="preserve">Claim number: </w:t>
      </w:r>
      <w:r>
        <w:rPr>
          <w:highlight w:val="yellow"/>
          <w:highlightCs w:val="yellow"/>
        </w:rPr>
        <w:t xml:space="preserve">[ ______________________ ]</w:t>
      </w:r>
    </w:p>
    <w:p>
      <w:pPr>
        <w:spacing w:after="120"/>
      </w:pPr>
      <w:r>
        <w:t xml:space="preserve">Date of loss: </w:t>
      </w:r>
      <w:r>
        <w:rPr>
          <w:highlight w:val="yellow"/>
          <w:highlightCs w:val="yellow"/>
        </w:rPr>
        <w:t xml:space="preserve">[ ______________________ ]</w:t>
      </w:r>
    </w:p>
    <w:p>
      <w:pPr>
        <w:spacing w:after="120"/>
      </w:pPr>
      <w:r>
        <w:t xml:space="preserve">Paid to date: </w:t>
      </w:r>
      <w:r>
        <w:rPr>
          <w:highlight w:val="yellow"/>
          <w:highlightCs w:val="yellow"/>
        </w:rPr>
        <w:t xml:space="preserve">[ ______________________ ]</w:t>
      </w:r>
    </w:p>
    <w:p>
      <w:pPr>
        <w:spacing w:after="120"/>
      </w:pPr>
      <w:r>
        <w:t xml:space="preserve">Deductible: State whether it is being pursued</w:t>
      </w:r>
    </w:p>
    <w:p>
      <w:pPr>
        <w:spacing w:after="120"/>
      </w:pPr>
      <w:r>
        <w:rPr>
          <w:highlight w:val="yellow"/>
          <w:highlightCs w:val="yellow"/>
        </w:rPr>
        <w:t xml:space="preserve">[Claim number, policy number, insured, risk address, date of loss, peril, adjuster, examiner, paid to date, outstanding reserve, deductible]</w:t>
      </w:r>
    </w:p>
    <w:p/>
    <w:p>
      <w:pPr>
        <w:pStyle w:val="Heading2"/>
      </w:pPr>
      <w:r>
        <w:t xml:space="preserve">Summary of loss</w:t>
      </w:r>
    </w:p>
    <w:p>
      <w:pPr>
        <w:spacing w:after="120"/>
      </w:pPr>
      <w:r>
        <w:rPr>
          <w:i/>
          <w:iCs/>
          <w:sz w:val="18"/>
          <w:szCs w:val="18"/>
        </w:rPr>
        <w:t xml:space="preserve">Four or five sentences of fact, in sequence, with no argument in them. What failed, where, when it was discovered, and what it damaged. Keep the recovery narrative separate from the coverage narrative. A recovery file that inherits your coverage reasoning inherits its weaknesses too, and the adverse party's insurer will read this document.</w:t>
      </w:r>
    </w:p>
    <w:p>
      <w:pPr>
        <w:spacing w:after="120"/>
      </w:pPr>
      <w:r>
        <w:rPr>
          <w:highlight w:val="yellow"/>
          <w:highlightCs w:val="yellow"/>
        </w:rPr>
        <w:t xml:space="preserve">[What failed and where; when it was discovered and by whom; what was damaged; the current state of repairs]</w:t>
      </w:r>
    </w:p>
    <w:p/>
    <w:p>
      <w:pPr>
        <w:pStyle w:val="Heading2"/>
      </w:pPr>
      <w:r>
        <w:t xml:space="preserve">Identified adverse party</w:t>
      </w:r>
    </w:p>
    <w:p>
      <w:pPr>
        <w:spacing w:after="120"/>
      </w:pPr>
      <w:r>
        <w:rPr>
          <w:i/>
          <w:iCs/>
          <w:sz w:val="18"/>
          <w:szCs w:val="18"/>
        </w:rPr>
        <w:t xml:space="preserve">Name, address, the relationship to the loss, and how you identified them. Include the document that ties them to the component: an invoice, a permit, a work order, a service sticker on the equipment. If you could not identify a party, say who you asked and what you were told. "Unknown installer" with three named inquiries in it is a live file; "unknown installer" alone is a closed one.</w:t>
      </w:r>
    </w:p>
    <w:p>
      <w:pPr>
        <w:spacing w:after="120"/>
      </w:pPr>
      <w:r>
        <w:t xml:space="preserve">Adverse party: </w:t>
      </w:r>
      <w:r>
        <w:rPr>
          <w:highlight w:val="yellow"/>
          <w:highlightCs w:val="yellow"/>
        </w:rPr>
        <w:t xml:space="preserve">[ ______________________ ]</w:t>
      </w:r>
    </w:p>
    <w:p>
      <w:pPr>
        <w:spacing w:after="120"/>
      </w:pPr>
      <w:r>
        <w:t xml:space="preserve">Linking document: Invoice, permit or work order number and date</w:t>
      </w:r>
    </w:p>
    <w:p>
      <w:pPr>
        <w:spacing w:after="120"/>
      </w:pPr>
      <w:r>
        <w:rPr>
          <w:highlight w:val="yellow"/>
          <w:highlightCs w:val="yellow"/>
        </w:rPr>
        <w:t xml:space="preserve">[Party name, address, contact; their role in the loss; the document establishing that role, with number and date; any party you could not identify and what you did to try]</w:t>
      </w:r>
    </w:p>
    <w:p/>
    <w:p>
      <w:pPr>
        <w:pStyle w:val="Heading2"/>
      </w:pPr>
      <w:r>
        <w:t xml:space="preserve">Theory of recovery</w:t>
      </w:r>
    </w:p>
    <w:p>
      <w:pPr>
        <w:spacing w:after="120"/>
      </w:pPr>
      <w:r>
        <w:rPr>
          <w:i/>
          <w:iCs/>
          <w:sz w:val="18"/>
          <w:szCs w:val="18"/>
        </w:rPr>
        <w:t xml:space="preserve">This is the section that justifies the referral, and it is the one that gets skipped. State the theory in a sentence, then the facts that support it, then the facts that cut against it. Where more than one theory is available — the installer's workmanship and the manufacturer's product, for instance — say which is stronger and why, and say plainly if the evidence does not yet separate them. Describe the factual basis; leave legal characterization to the recovery unit or counsel, whose job it is.</w:t>
      </w:r>
    </w:p>
    <w:p>
      <w:pPr>
        <w:spacing w:after="120"/>
      </w:pPr>
      <w:r>
        <w:rPr>
          <w:highlight w:val="yellow"/>
          <w:highlightCs w:val="yellow"/>
        </w:rPr>
        <w:t xml:space="preserve">[The theory in one sentence; the supporting facts; the facts against it; alternative theories and their relative strength; what evidence would separate them]</w:t>
      </w:r>
    </w:p>
    <w:p/>
    <w:p>
      <w:pPr>
        <w:pStyle w:val="Heading2"/>
      </w:pPr>
      <w:r>
        <w:t xml:space="preserve">Evidence preserved</w:t>
      </w:r>
    </w:p>
    <w:p>
      <w:pPr>
        <w:spacing w:after="120"/>
      </w:pPr>
      <w:r>
        <w:rPr>
          <w:i/>
          <w:iCs/>
          <w:sz w:val="18"/>
          <w:szCs w:val="18"/>
        </w:rPr>
        <w:t xml:space="preserve">Itemize it: what was retained, when, by whom, where it is now, and how it is identified. Photographs, the tag number on the component, the storage location, the moisture readings, the statements taken. Preservation is the step that cannot be repeated. Note also what was destroyed before you arrived and on whose instruction, because the adverse party will ask.</w:t>
      </w:r>
    </w:p>
    <w:p>
      <w:pPr>
        <w:spacing w:after="120"/>
      </w:pPr>
      <w:r>
        <w:rPr>
          <w:highlight w:val="yellow"/>
          <w:highlightCs w:val="yellow"/>
        </w:rPr>
        <w:t xml:space="preserve">[Items retained, with tag numbers; date and person retaining; current storage location; photographs and their numbering; documents obtained; anything destroyed or repaired before inspection, and by whom]</w:t>
      </w:r>
    </w:p>
    <w:p>
      <w:pPr>
        <w:pStyle w:val="ListParagraph"/>
        <w:numPr>
          <w:ilvl w:val="0"/>
          <w:numId w:val="1"/>
        </w:numPr>
        <w:spacing w:after="80"/>
      </w:pPr>
      <w:r>
        <w:t xml:space="preserve">Physical components retained, tagged and photographed</w:t>
      </w:r>
    </w:p>
    <w:p>
      <w:pPr>
        <w:pStyle w:val="ListParagraph"/>
        <w:numPr>
          <w:ilvl w:val="0"/>
          <w:numId w:val="1"/>
        </w:numPr>
        <w:spacing w:after="80"/>
      </w:pPr>
      <w:r>
        <w:t xml:space="preserve">Photograph set and numbering</w:t>
      </w:r>
    </w:p>
    <w:p>
      <w:pPr>
        <w:pStyle w:val="ListParagraph"/>
        <w:numPr>
          <w:ilvl w:val="0"/>
          <w:numId w:val="1"/>
        </w:numPr>
        <w:spacing w:after="80"/>
      </w:pPr>
      <w:r>
        <w:t xml:space="preserve">Measurements, readings and the instrument used</w:t>
      </w:r>
    </w:p>
    <w:p>
      <w:pPr>
        <w:pStyle w:val="ListParagraph"/>
        <w:numPr>
          <w:ilvl w:val="0"/>
          <w:numId w:val="1"/>
        </w:numPr>
        <w:spacing w:after="80"/>
      </w:pPr>
      <w:r>
        <w:t xml:space="preserve">Statements and documents obtained from the insured</w:t>
      </w:r>
    </w:p>
    <w:p>
      <w:pPr>
        <w:pStyle w:val="ListParagraph"/>
        <w:numPr>
          <w:ilvl w:val="0"/>
          <w:numId w:val="1"/>
        </w:numPr>
        <w:spacing w:after="80"/>
      </w:pPr>
      <w:r>
        <w:t xml:space="preserve">Anything discarded before inspection, and on whose instruction</w:t>
      </w:r>
    </w:p>
    <w:p/>
    <w:p>
      <w:pPr>
        <w:pStyle w:val="Heading2"/>
      </w:pPr>
      <w:r>
        <w:t xml:space="preserve">Notice given</w:t>
      </w:r>
    </w:p>
    <w:p>
      <w:pPr>
        <w:spacing w:after="120"/>
      </w:pPr>
      <w:r>
        <w:rPr>
          <w:i/>
          <w:iCs/>
          <w:sz w:val="18"/>
          <w:szCs w:val="18"/>
        </w:rPr>
        <w:t xml:space="preserve">Who was notified, on what date, by what method, and what the notice asked for. Notice that invites the adverse party to inspect jointly before the component is examined further is worth more than notice sent afterwards, because a joint inspection is difficult to attack later. If no notice has gone out yet, say so and say why. A deliberate hold pending referral is a decision; silence is not.</w:t>
      </w:r>
    </w:p>
    <w:p>
      <w:pPr>
        <w:spacing w:after="120"/>
      </w:pPr>
      <w:r>
        <w:t xml:space="preserve">Notice sent to: </w:t>
      </w:r>
      <w:r>
        <w:rPr>
          <w:highlight w:val="yellow"/>
          <w:highlightCs w:val="yellow"/>
        </w:rPr>
        <w:t xml:space="preserve">[ ______________________ ]</w:t>
      </w:r>
    </w:p>
    <w:p>
      <w:pPr>
        <w:spacing w:after="120"/>
      </w:pPr>
      <w:r>
        <w:t xml:space="preserve">Date and method: </w:t>
      </w:r>
      <w:r>
        <w:rPr>
          <w:highlight w:val="yellow"/>
          <w:highlightCs w:val="yellow"/>
        </w:rPr>
        <w:t xml:space="preserve">[ ______________________ ]</w:t>
      </w:r>
    </w:p>
    <w:p>
      <w:pPr>
        <w:spacing w:after="120"/>
      </w:pPr>
      <w:r>
        <w:rPr>
          <w:highlight w:val="yellow"/>
          <w:highlightCs w:val="yellow"/>
        </w:rPr>
        <w:t xml:space="preserve">[Recipient, date, method, what the notice requested; any joint inspection offered or scheduled; if no notice has issued, the reason and the date it will]</w:t>
      </w:r>
    </w:p>
    <w:p/>
    <w:p>
      <w:pPr>
        <w:pStyle w:val="Heading2"/>
      </w:pPr>
      <w:r>
        <w:t xml:space="preserve">Damages and supporting documents</w:t>
      </w:r>
    </w:p>
    <w:p>
      <w:pPr>
        <w:spacing w:after="120"/>
      </w:pPr>
      <w:r>
        <w:rPr>
          <w:i/>
          <w:iCs/>
          <w:sz w:val="18"/>
          <w:szCs w:val="18"/>
        </w:rPr>
        <w:t xml:space="preserve">The claim payments to date, itemized by coverage, plus the insured's deductible and any expense you intend to include. Attach the estimate, the invoices and the proofs of payment rather than summarizing them, and reconcile the total to the figures in the header so nobody has to. Where recoverable depreciation is still held, say so, because the demand figure will change when it releases.</w:t>
      </w:r>
    </w:p>
    <w:p>
      <w:pPr>
        <w:spacing w:after="120"/>
      </w:pPr>
      <w:r>
        <w:rPr>
          <w:highlight w:val="yellow"/>
          <w:highlightCs w:val="yellow"/>
        </w:rPr>
        <w:t xml:space="preserve">[Indemnity paid by coverage, with payment dates; deductible; depreciation still held; expense claimed; total demanded; attachments listed]</w:t>
      </w:r>
    </w:p>
    <w:p/>
    <w:p>
      <w:pPr>
        <w:pStyle w:val="Heading2"/>
      </w:pPr>
      <w:r>
        <w:t xml:space="preserve">Deadlines and diary</w:t>
      </w:r>
    </w:p>
    <w:p>
      <w:pPr>
        <w:spacing w:after="120"/>
      </w:pPr>
      <w:r>
        <w:rPr>
          <w:i/>
          <w:iCs/>
          <w:sz w:val="18"/>
          <w:szCs w:val="18"/>
        </w:rPr>
        <w:t xml:space="preserve">Any date that ends something: an inspection scheduled, a joint examination, a storage disposal date at the vendor, a response date set in the notice. Limitations periods differ by state and by theory, and they are not the field adjuster's call. Record the date the recovery unit or counsel confirmed the applicable period rather than calculating one yourself. A wrong date recorded confidently is worse than a blank one flagged for confirmation.</w:t>
      </w:r>
    </w:p>
    <w:p>
      <w:pPr>
        <w:spacing w:after="120"/>
      </w:pPr>
      <w:r>
        <w:rPr>
          <w:highlight w:val="yellow"/>
          <w:highlightCs w:val="yellow"/>
        </w:rPr>
        <w:t xml:space="preserve">[Diaried dates and what each governs; storage disposal date; response date given in the notice; limitation period — confirmed by whom and on what date, or flagged for confirmation]</w:t>
      </w:r>
    </w:p>
    <w:p/>
    <w:p>
      <w:pPr>
        <w:pStyle w:val="Heading2"/>
      </w:pPr>
      <w:r>
        <w:t xml:space="preserve">Recommendation and open items</w:t>
      </w:r>
    </w:p>
    <w:p>
      <w:pPr>
        <w:spacing w:after="120"/>
      </w:pPr>
      <w:r>
        <w:rPr>
          <w:i/>
          <w:iCs/>
          <w:sz w:val="18"/>
          <w:szCs w:val="18"/>
        </w:rPr>
        <w:t xml:space="preserve">What you are asking for: refer, hold, or decline, and what you need from the recovery unit to move. Each open item gets an owner and a target date. This section is what turns the memo from a report into a handoff.</w:t>
      </w:r>
    </w:p>
    <w:p>
      <w:pPr>
        <w:spacing w:after="120"/>
      </w:pPr>
      <w:r>
        <w:rPr>
          <w:highlight w:val="yellow"/>
          <w:highlightCs w:val="yellow"/>
        </w:rPr>
        <w:t xml:space="preserve">[Recommendation; what is needed from the recovery unit; open items, each with owner and target date]</w:t>
      </w:r>
    </w:p>
    <w:p/>
    <w:p>
      <w:pPr>
        <w:pStyle w:val="Heading2"/>
      </w:pPr>
      <w:r>
        <w:t xml:space="preserve">Demand letter — body</w:t>
      </w:r>
    </w:p>
    <w:p>
      <w:pPr>
        <w:spacing w:after="120"/>
      </w:pPr>
      <w:r>
        <w:rPr>
          <w:i/>
          <w:iCs/>
          <w:sz w:val="18"/>
          <w:szCs w:val="18"/>
        </w:rPr>
        <w:t xml:space="preserve">The outbound document. It states the loss, the basis on which the recipient is asked to respond, the amount, the supporting documents enclosed, and a date by which a reply is requested. Keep it factual and short. Do not characterize the recipient's conduct, do not quantify anything you cannot evidence, and do not assert a legal conclusion. The enclosures do the work and the sentence you improvise is the one that gets quoted back. Address it to the party and copy their insurer if known.</w:t>
      </w:r>
    </w:p>
    <w:p>
      <w:pPr>
        <w:spacing w:after="120"/>
      </w:pPr>
      <w:r>
        <w:t xml:space="preserve">Amount demanded: </w:t>
      </w:r>
      <w:r>
        <w:rPr>
          <w:highlight w:val="yellow"/>
          <w:highlightCs w:val="yellow"/>
        </w:rPr>
        <w:t xml:space="preserve">[ ______________________ ]</w:t>
      </w:r>
    </w:p>
    <w:p>
      <w:pPr>
        <w:spacing w:after="120"/>
      </w:pPr>
      <w:r>
        <w:t xml:space="preserve">Response date requested: </w:t>
      </w:r>
      <w:r>
        <w:rPr>
          <w:highlight w:val="yellow"/>
          <w:highlightCs w:val="yellow"/>
        </w:rPr>
        <w:t xml:space="preserve">[ ______________________ ]</w:t>
      </w:r>
    </w:p>
    <w:p>
      <w:pPr>
        <w:spacing w:after="120"/>
      </w:pPr>
      <w:r>
        <w:rPr>
          <w:highlight w:val="yellow"/>
          <w:highlightCs w:val="yellow"/>
        </w:rPr>
        <w:t xml:space="preserve">[Date; recipient and any insurer copied; our insured and claim number; date and description of loss; basis for the demand; amount demanded, itemized; enclosures; requested response date and contact]</w:t>
      </w:r>
    </w:p>
    <w:p/>
    <w:p>
      <w:pPr>
        <w:spacing w:before="240"/>
      </w:pPr>
      <w:r>
        <w:rPr>
          <w:i/>
          <w:iCs/>
          <w:sz w:val="18"/>
          <w:szCs w:val="18"/>
        </w:rPr>
        <w:t xml:space="preserve">This template is a general drafting aid. It is not legal advice and not a coverage opinion. Claim handling requirements vary by state, and the policy actually issued governs the claim. Adapt this to your file and your jurisdiction. Delete this notice before sending.</w:t>
      </w:r>
    </w:p>
    <w:p>
      <w:r>
        <w:br w:type="page"/>
      </w:r>
    </w:p>
    <w:p>
      <w:pPr>
        <w:pStyle w:val="Heading1"/>
      </w:pPr>
      <w:r>
        <w:t xml:space="preserve">Worked example</w:t>
      </w:r>
    </w:p>
    <w:p>
      <w:pPr>
        <w:pBdr>
          <w:left w:val="single" w:color="999999" w:sz="12" w:space="12"/>
        </w:pBdr>
        <w:spacing w:after="200"/>
      </w:pPr>
      <w:r>
        <w:rPr>
          <w:b/>
          <w:bCs/>
          <w:sz w:val="18"/>
          <w:szCs w:val="18"/>
        </w:rPr>
        <w:t xml:space="preserve">FICTIONAL — for illustration only. Every name, figure and date below is invented. Delete this whole section before you use the template above.</w:t>
      </w:r>
    </w:p>
    <w:p>
      <w:pPr>
        <w:spacing w:after="120"/>
      </w:pPr>
      <w:r>
        <w:rPr>
          <w:i/>
          <w:iCs/>
          <w:sz w:val="20"/>
          <w:szCs w:val="20"/>
        </w:rPr>
        <w:t xml:space="preserve">Fictional scenario: the Harbour Lane water loss, referred to the recovery unit on 20 July, two days after inspection, with the written referral package completed on 3 August once payment had issued. A live theory against the plumbing contractor who replaced the water heater eleven months earlier. The example leaves two things open — whether the failure is workmanship or product, and the duration of the release — because at referral neither is established.</w:t>
      </w:r>
    </w:p>
    <w:p/>
    <w:p>
      <w:pPr>
        <w:pStyle w:val="Heading2"/>
      </w:pPr>
      <w:r>
        <w:t xml:space="preserve">Referral header and claim identification</w:t>
      </w:r>
    </w:p>
    <w:p>
      <w:pPr>
        <w:spacing w:after="120"/>
      </w:pPr>
      <w:r>
        <w:t xml:space="preserve">Claim PC-2026-11482. Policy HO-4471903, term 1 March 2026 to 1 March 2027.</w:t>
      </w:r>
    </w:p>
    <w:p>
      <w:pPr>
        <w:spacing w:after="120"/>
      </w:pPr>
      <w:r>
        <w:t xml:space="preserve">Insured: D. Okonjo, 118 Harbour Lane. Single-family dwelling, owner-occupied.</w:t>
      </w:r>
    </w:p>
    <w:p>
      <w:pPr>
        <w:spacing w:after="120"/>
      </w:pPr>
      <w:r>
        <w:t xml:space="preserve">Date of loss: reported 14 July 2026, discovered approximately 07:15.</w:t>
      </w:r>
    </w:p>
    <w:p>
      <w:pPr>
        <w:spacing w:after="120"/>
      </w:pPr>
      <w:r>
        <w:t xml:space="preserve">Peril: water, non-weather. Adjuster: R. Calloway. Examiner: C. Mendez.</w:t>
      </w:r>
    </w:p>
    <w:p>
      <w:pPr>
        <w:spacing w:after="120"/>
      </w:pPr>
      <w:r>
        <w:t xml:space="preserve">Referral opened 20 July 2026. This memo completed 3 August 2026, once payment had issued.</w:t>
      </w:r>
    </w:p>
    <w:p/>
    <w:p>
      <w:pPr>
        <w:spacing w:after="120"/>
      </w:pPr>
      <w:r>
        <w:t xml:space="preserve">Estimate $18,340 RCV / $17,890 ACV. Paid to date $15,390, being ACV less the deductible, issued 24 July 2026. Recoverable depreciation of $450 held pending completion. Outstanding indemnity reserve $19,000, expense reserve $2,500.</w:t>
      </w:r>
    </w:p>
    <w:p>
      <w:pPr>
        <w:spacing w:after="120"/>
      </w:pPr>
      <w:r>
        <w:t xml:space="preserve">Deductible $2,500, applied once. The insured has asked that it be pursued and I have confirmed it is included in the demand figure below.</w:t>
      </w:r>
    </w:p>
    <w:p/>
    <w:p>
      <w:pPr>
        <w:pStyle w:val="Heading2"/>
      </w:pPr>
      <w:r>
        <w:t xml:space="preserve">Summary of loss</w:t>
      </w:r>
    </w:p>
    <w:p>
      <w:pPr>
        <w:spacing w:after="120"/>
      </w:pPr>
      <w:r>
        <w:t xml:space="preserve">A braided stainless supply line serving the water heater separated at the crimped fitting on the heater end. The heater sits in a utility closet off the hallway, on slab. The insured last occupied the dwelling at approximately 18:00 on Friday 11 July and found standing water on returning at 07:15 on 14 July.</w:t>
      </w:r>
    </w:p>
    <w:p/>
    <w:p>
      <w:pPr>
        <w:spacing w:after="120"/>
      </w:pPr>
      <w:r>
        <w:t xml:space="preserve">Water tracked along the hallway and living room walls, wetting drywall to 14 inches above slab along 31 linear feet of the south and west runs. Fourteen cartons of stored books on the closet floor were water-stained. The detached garage and the bedrooms were unaffected and the dwelling remained habitable throughout. Mitigation and drying were completed by the insured's contractor; reconstruction has not started as at the date of this memo.</w:t>
      </w:r>
    </w:p>
    <w:p/>
    <w:p>
      <w:pPr>
        <w:pStyle w:val="Heading2"/>
      </w:pPr>
      <w:r>
        <w:t xml:space="preserve">Identified adverse party</w:t>
      </w:r>
    </w:p>
    <w:p>
      <w:pPr>
        <w:spacing w:after="120"/>
      </w:pPr>
      <w:r>
        <w:t xml:space="preserve">Feldstrom Plumbing, 2214 Rennick Avenue. Contact given on the invoice as J. Feldstrom, no email listed. License number not shown on the invoice and not yet checked against the state register.</w:t>
      </w:r>
    </w:p>
    <w:p/>
    <w:p>
      <w:pPr>
        <w:spacing w:after="120"/>
      </w:pPr>
      <w:r>
        <w:t xml:space="preserve">They replaced the water heater on 3 August 2025, eleven months and eleven days before the loss, under invoice 20941. The insured produced the invoice at inspection on 18 July. It records the heater model and labor and includes a line reading "conn kit" at $34, which I read as the supply lines but which is not itemized further. The line-item detail on the copy provided is partly illegible; a legible copy was requested from the insured on 18 July and again on 22 July, and is still outstanding.</w:t>
      </w:r>
    </w:p>
    <w:p/>
    <w:p>
      <w:pPr>
        <w:spacing w:after="120"/>
      </w:pPr>
      <w:r>
        <w:t xml:space="preserve">The manufacturer of the braided line has not been identified. There is no legible marking on the retained sleeve. If the recovery unit wants the manufacturer named, the crimp collar may carry a stamp that would need magnification to read, and I have not disturbed the component to look.</w:t>
      </w:r>
    </w:p>
    <w:p/>
    <w:p>
      <w:pPr>
        <w:pStyle w:val="Heading2"/>
      </w:pPr>
      <w:r>
        <w:t xml:space="preserve">Theory of recovery</w:t>
      </w:r>
    </w:p>
    <w:p>
      <w:pPr>
        <w:spacing w:after="120"/>
      </w:pPr>
      <w:r>
        <w:t xml:space="preserve">The theory is that the supply line was fitted as part of the August 2025 heater replacement and failed at the connection made during that work.</w:t>
      </w:r>
    </w:p>
    <w:p/>
    <w:p>
      <w:pPr>
        <w:spacing w:after="120"/>
      </w:pPr>
      <w:r>
        <w:t xml:space="preserve">Supporting it: the line is on the heater side, which was the work performed; the invoice includes a connector line item on the same date; the failure is at the crimped fitting rather than mid-run, which is where an installation defect would present; the fitting shows no corrosion, freeze damage or impact, and the closet is conditioned interior space with nothing stored against the heater.</w:t>
      </w:r>
    </w:p>
    <w:p/>
    <w:p>
      <w:pPr>
        <w:spacing w:after="120"/>
      </w:pPr>
      <w:r>
        <w:t xml:space="preserve">Against it: eleven months of service is long enough that a fitting installed badly would ordinarily have been expected to weep earlier, and there is no reported history of weeping. The invoice does not name a line manufacturer or part number, so the connection between the retained component and this contractor rests on the insured's account and the invoice date rather than on documentary identification of the part.</w:t>
      </w:r>
    </w:p>
    <w:p/>
    <w:p>
      <w:pPr>
        <w:spacing w:after="120"/>
      </w:pPr>
      <w:r>
        <w:t xml:space="preserve">A product theory is also available and I cannot presently separate the two. The distinguishing evidence would be a bench examination of the crimp — whether the collar is under- or over-crimped against the manufacturer's specification — which requires the manufacturer to be identified first. My recommendation is that this examination be conducted jointly rather than unilaterally.</w:t>
      </w:r>
    </w:p>
    <w:p/>
    <w:p>
      <w:pPr>
        <w:spacing w:after="120"/>
      </w:pPr>
      <w:r>
        <w:t xml:space="preserve">One matter is not established and bears on any argument about the extent of the damage rather than its cause: the duration of the release. Last occupancy was 18:00 on 11 July, discovery 07:15 on 14 July, an interval of roughly 61 hours. There is no water sub-meter, municipal supply is billed quarterly with the next read due September, and there is no alarm or occupancy log. It is recorded as undetermined and I have not estimated it.</w:t>
      </w:r>
    </w:p>
    <w:p/>
    <w:p>
      <w:pPr>
        <w:pStyle w:val="Heading2"/>
      </w:pPr>
      <w:r>
        <w:t xml:space="preserve">Evidence preserved</w:t>
      </w:r>
    </w:p>
    <w:p>
      <w:pPr>
        <w:spacing w:after="120"/>
      </w:pPr>
      <w:r>
        <w:t xml:space="preserve">Retained 18 July 2026 by R. Calloway at inspection, before the mitigation contractor's demolition:</w:t>
      </w:r>
    </w:p>
    <w:p/>
    <w:p>
      <w:pPr>
        <w:spacing w:after="120"/>
      </w:pPr>
      <w:r>
        <w:t xml:space="preserve">1. The braided stainless supply line and the separated crimped fitting, cut approximately 12 inches from the failure point at the far end, tagged PC-11482-A, bagged and photographed in situ before removal. Held in the branch evidence locker, receipt logged 20 July.</w:t>
      </w:r>
    </w:p>
    <w:p>
      <w:pPr>
        <w:spacing w:after="120"/>
      </w:pPr>
      <w:r>
        <w:t xml:space="preserve">2. Photographs 3 to 9 of the component in place and after removal; 11 to 18 of the wicking line on the affected wall runs; 30 to 44 of the fourteen cartons individually; 47 in total on the file, labelled and keyed to the report.</w:t>
      </w:r>
    </w:p>
    <w:p>
      <w:pPr>
        <w:spacing w:after="120"/>
      </w:pPr>
      <w:r>
        <w:t xml:space="preserve">3. Moisture readings taken 18 July with a Delmhorst BD-2100 on the wood scale, on slab at 4, 8, 12 and 16 feet from the closet: 18.4%, 16.1%, 14.8%, 11.2%. Baseline in the far bedroom, approximately 40 feet from the source: 9.6%.</w:t>
      </w:r>
    </w:p>
    <w:p>
      <w:pPr>
        <w:spacing w:after="120"/>
      </w:pPr>
      <w:r>
        <w:t xml:space="preserve">4. Copy of Feldstrom invoice 20941 dated 3 August 2025, partly illegible.</w:t>
      </w:r>
    </w:p>
    <w:p>
      <w:pPr>
        <w:spacing w:after="120"/>
      </w:pPr>
      <w:r>
        <w:t xml:space="preserve">5. Insured's account taken at inspection, unrecorded, summarized in the file note of 18 July.</w:t>
      </w:r>
    </w:p>
    <w:p/>
    <w:p>
      <w:pPr>
        <w:spacing w:after="120"/>
      </w:pPr>
      <w:r>
        <w:t xml:space="preserve">The water heater itself was not damaged, was not removed, and remains connected and in service at the risk. If it is wanted for examination it will need to be secured before the insured replaces it, and nobody has asked him not to.</w:t>
      </w:r>
    </w:p>
    <w:p/>
    <w:p>
      <w:pPr>
        <w:spacing w:after="120"/>
      </w:pPr>
      <w:r>
        <w:t xml:space="preserve">Destroyed before inspection: the affected drywall was not removed before my attendance, so nothing material was lost. Standing water had been extracted by the mitigation contractor on 14 July.</w:t>
      </w:r>
    </w:p>
    <w:p/>
    <w:p>
      <w:pPr>
        <w:pStyle w:val="Heading2"/>
      </w:pPr>
      <w:r>
        <w:t xml:space="preserve">Notice given</w:t>
      </w:r>
    </w:p>
    <w:p>
      <w:pPr>
        <w:spacing w:after="120"/>
      </w:pPr>
      <w:r>
        <w:t xml:space="preserve">No notice has issued to Feldstrom Plumbing as at the date of this memo. That is deliberate. The retained component has not been examined beyond visual inspection and photography, and my recommendation is that notice go out first so that any examination of the crimp can be conducted jointly or with the adverse party invited.</w:t>
      </w:r>
    </w:p>
    <w:p/>
    <w:p>
      <w:pPr>
        <w:spacing w:after="120"/>
      </w:pPr>
      <w:r>
        <w:t xml:space="preserve">The insured has been asked not to discuss the loss with Feldstrom pending referral and has agreed. He mentioned at inspection that he had already telephoned them on 14 July to ask whether they would attend; he says he was told they no longer service that model and the call ended. That call is recorded here because it is the adverse party's first awareness of the loss and its date may matter.</w:t>
      </w:r>
    </w:p>
    <w:p/>
    <w:p>
      <w:pPr>
        <w:pStyle w:val="Heading2"/>
      </w:pPr>
      <w:r>
        <w:t xml:space="preserve">Damages and supporting documents</w:t>
      </w:r>
    </w:p>
    <w:p>
      <w:pPr>
        <w:spacing w:after="120"/>
      </w:pPr>
      <w:r>
        <w:t xml:space="preserve">Indemnity paid to date: $15,390, dwelling coverage, issued 24 July 2026 (ACV $17,890 less the $2,500 deductible).</w:t>
      </w:r>
    </w:p>
    <w:p>
      <w:pPr>
        <w:spacing w:after="120"/>
      </w:pPr>
      <w:r>
        <w:t xml:space="preserve">Recoverable depreciation held: $450, releasable on completion of reconstruction.</w:t>
      </w:r>
    </w:p>
    <w:p>
      <w:pPr>
        <w:spacing w:after="120"/>
      </w:pPr>
      <w:r>
        <w:t xml:space="preserve">Insured's deductible: $2,500, pursued at his request.</w:t>
      </w:r>
    </w:p>
    <w:p>
      <w:pPr>
        <w:spacing w:after="120"/>
      </w:pPr>
      <w:r>
        <w:t xml:space="preserve">Unscheduled personal property: the fourteen cartons of books are inventoried but not yet priced. No payment has issued on contents and the demand figure below excludes them; it will require amendment once priced.</w:t>
      </w:r>
    </w:p>
    <w:p>
      <w:pPr>
        <w:spacing w:after="120"/>
      </w:pPr>
      <w:r>
        <w:t xml:space="preserve">Additional living expense: none claimed; the dwelling remained habitable.</w:t>
      </w:r>
    </w:p>
    <w:p/>
    <w:p>
      <w:pPr>
        <w:spacing w:after="120"/>
      </w:pPr>
      <w:r>
        <w:t xml:space="preserve">Demand total: $18,340. That is the full replacement cost estimate, with the insured's deductible sitting inside it rather than added to it ($15,390 paid + $450 depreciation held + $2,500 deductible). Adjusting expense is not included pending the recovery unit's direction on whether it is pursued in this jurisdiction.</w:t>
      </w:r>
    </w:p>
    <w:p/>
    <w:p>
      <w:pPr>
        <w:spacing w:after="120"/>
      </w:pPr>
      <w:r>
        <w:t xml:space="preserve">Enclosed: estimate dated 22 July; proof of payment 24 July; photograph set 1-47 with the log; moisture reading sheet; Feldstrom invoice 20941; evidence receipt for tag PC-11482-A.</w:t>
      </w:r>
    </w:p>
    <w:p/>
    <w:p>
      <w:pPr>
        <w:pStyle w:val="Heading2"/>
      </w:pPr>
      <w:r>
        <w:t xml:space="preserve">Deadlines and diary</w:t>
      </w:r>
    </w:p>
    <w:p>
      <w:pPr>
        <w:spacing w:after="120"/>
      </w:pPr>
      <w:r>
        <w:t xml:space="preserve">20 August 2026 — legible invoice copy chased from the insured, third request. Owner: R. Calloway.</w:t>
      </w:r>
    </w:p>
    <w:p>
      <w:pPr>
        <w:spacing w:after="120"/>
      </w:pPr>
      <w:r>
        <w:t xml:space="preserve">15 September 2026 — municipal water read due; will be requested from the insured, though a quarterly read spanning the loss is unlikely to isolate the release and I am not relying on it.</w:t>
      </w:r>
    </w:p>
    <w:p>
      <w:pPr>
        <w:spacing w:after="120"/>
      </w:pPr>
      <w:r>
        <w:t xml:space="preserve">Evidence: tag PC-11482-A held indefinitely, no vendor disposal date applies. The branch locker has no automatic purge.</w:t>
      </w:r>
    </w:p>
    <w:p>
      <w:pPr>
        <w:spacing w:after="120"/>
      </w:pPr>
      <w:r>
        <w:t xml:space="preserve">Water heater at the risk: no hold in place. Flagged for the recovery unit — if it is wanted, the insured should be asked in writing not to replace it.</w:t>
      </w:r>
    </w:p>
    <w:p>
      <w:pPr>
        <w:spacing w:after="120"/>
      </w:pPr>
      <w:r>
        <w:t xml:space="preserve">Limitation period: not stated here. The applicable period turns on the theory pursued and the state, and I have asked the recovery unit to confirm and diary it rather than calculating one from the field. Confirmation requested 20 July, outstanding.</w:t>
      </w:r>
    </w:p>
    <w:p/>
    <w:p>
      <w:pPr>
        <w:pStyle w:val="Heading2"/>
      </w:pPr>
      <w:r>
        <w:t xml:space="preserve">Recommendation and open items</w:t>
      </w:r>
    </w:p>
    <w:p>
      <w:pPr>
        <w:spacing w:after="120"/>
      </w:pPr>
      <w:r>
        <w:t xml:space="preserve">Recommend referral and acceptance. The theory is supported by the physical evidence and the component is preserved and tagged, which is the part that could not have been recovered later.</w:t>
      </w:r>
    </w:p>
    <w:p/>
    <w:p>
      <w:pPr>
        <w:spacing w:after="120"/>
      </w:pPr>
      <w:r>
        <w:t xml:space="preserve">1. Issue notice to Feldstrom Plumbing with an offer of joint examination, before any bench examination of the crimp. Owner: recovery unit. Requested 20 July.</w:t>
      </w:r>
    </w:p>
    <w:p>
      <w:pPr>
        <w:spacing w:after="120"/>
      </w:pPr>
      <w:r>
        <w:t xml:space="preserve">2. Confirm and diary the applicable limitation period. Owner: recovery unit. Requested 20 July, outstanding.</w:t>
      </w:r>
    </w:p>
    <w:p>
      <w:pPr>
        <w:spacing w:after="120"/>
      </w:pPr>
      <w:r>
        <w:t xml:space="preserve">3. Obtain a legible copy of invoice 20941. Owner: R. Calloway. Target 20 August.</w:t>
      </w:r>
    </w:p>
    <w:p>
      <w:pPr>
        <w:spacing w:after="120"/>
      </w:pPr>
      <w:r>
        <w:t xml:space="preserve">4. Decide whether the installed water heater is wanted for examination, and if so secure it in writing with the insured. Owner: recovery unit. Target 14 August.</w:t>
      </w:r>
    </w:p>
    <w:p>
      <w:pPr>
        <w:spacing w:after="120"/>
      </w:pPr>
      <w:r>
        <w:t xml:space="preserve">5. Price the contents inventory and amend the demand figure. Owner: R. Calloway. Target 20 August.</w:t>
      </w:r>
    </w:p>
    <w:p>
      <w:pPr>
        <w:spacing w:after="120"/>
      </w:pPr>
      <w:r>
        <w:t xml:space="preserve">6. Identify the line manufacturer if the product theory is to be preserved. Owner: recovery unit, on examination. No target set.</w:t>
      </w:r>
    </w:p>
    <w:p/>
    <w:p>
      <w:pPr>
        <w:pStyle w:val="Heading2"/>
      </w:pPr>
      <w:r>
        <w:t xml:space="preserve">Demand letter — body</w:t>
      </w:r>
    </w:p>
    <w:p>
      <w:pPr>
        <w:spacing w:after="120"/>
      </w:pPr>
      <w:r>
        <w:t xml:space="preserve">3 August 2026</w:t>
      </w:r>
    </w:p>
    <w:p/>
    <w:p>
      <w:pPr>
        <w:spacing w:after="120"/>
      </w:pPr>
      <w:r>
        <w:t xml:space="preserve">Feldstrom Plumbing</w:t>
      </w:r>
    </w:p>
    <w:p>
      <w:pPr>
        <w:spacing w:after="120"/>
      </w:pPr>
      <w:r>
        <w:t xml:space="preserve">2214 Rennick Avenue</w:t>
      </w:r>
    </w:p>
    <w:p>
      <w:pPr>
        <w:spacing w:after="120"/>
      </w:pPr>
      <w:r>
        <w:t xml:space="preserve">For the attention of J. Feldstrom</w:t>
      </w:r>
    </w:p>
    <w:p/>
    <w:p>
      <w:pPr>
        <w:spacing w:after="120"/>
      </w:pPr>
      <w:r>
        <w:t xml:space="preserve">Our insured: D. Okonjo, 118 Harbour Lane</w:t>
      </w:r>
    </w:p>
    <w:p>
      <w:pPr>
        <w:spacing w:after="120"/>
      </w:pPr>
      <w:r>
        <w:t xml:space="preserve">Our claim number: PC-2026-11482</w:t>
      </w:r>
    </w:p>
    <w:p>
      <w:pPr>
        <w:spacing w:after="120"/>
      </w:pPr>
      <w:r>
        <w:t xml:space="preserve">Date of loss: 14 July 2026</w:t>
      </w:r>
    </w:p>
    <w:p/>
    <w:p>
      <w:pPr>
        <w:spacing w:after="120"/>
      </w:pPr>
      <w:r>
        <w:t xml:space="preserve">Dear Mr. Feldstrom,</w:t>
      </w:r>
    </w:p>
    <w:p/>
    <w:p>
      <w:pPr>
        <w:spacing w:after="120"/>
      </w:pPr>
      <w:r>
        <w:t xml:space="preserve">We insure the property at 118 Harbour Lane under policy HO-4471903 and have paid a claim for water damage discovered there on 14 July 2026.</w:t>
      </w:r>
    </w:p>
    <w:p/>
    <w:p>
      <w:pPr>
        <w:spacing w:after="120"/>
      </w:pPr>
      <w:r>
        <w:t xml:space="preserve">The damage followed the separation of a braided stainless supply line at its crimped fitting on the water heater. Our records show that your firm replaced that water heater on 3 August 2025 under your invoice 20941, and that the invoice includes a connector item dated the same day.</w:t>
      </w:r>
    </w:p>
    <w:p/>
    <w:p>
      <w:pPr>
        <w:spacing w:after="120"/>
      </w:pPr>
      <w:r>
        <w:t xml:space="preserve">The supply line and fitting have been retained, tagged and photographed, and are available for your inspection or that of your insurer. No examination beyond visual inspection and photography has been carried out. We would prefer any further examination to take place jointly, and we invite you to attend or to nominate a representative.</w:t>
      </w:r>
    </w:p>
    <w:p/>
    <w:p>
      <w:pPr>
        <w:spacing w:after="120"/>
      </w:pPr>
      <w:r>
        <w:t xml:space="preserve">We have paid $15,390 in indemnity to date and hold $450 in depreciation pending completion of the repairs. Our insured has paid a deductible of $2,500. The total presently claimed is $18,340. A contents element has not yet been quantified and this figure may be amended.</w:t>
      </w:r>
    </w:p>
    <w:p/>
    <w:p>
      <w:pPr>
        <w:spacing w:after="120"/>
      </w:pPr>
      <w:r>
        <w:t xml:space="preserve">Enclosed are our estimate, proof of payment, the photograph log, and a copy of invoice 20941.</w:t>
      </w:r>
    </w:p>
    <w:p/>
    <w:p>
      <w:pPr>
        <w:spacing w:after="120"/>
      </w:pPr>
      <w:r>
        <w:t xml:space="preserve">Please pass this letter to your liability insurer and ask them to contact the writer. We would be grateful for a reply by 3 September 2026 confirming the identity of your insurer and whether an inspection is required.</w:t>
      </w:r>
    </w:p>
    <w:p/>
    <w:p>
      <w:pPr>
        <w:spacing w:after="120"/>
      </w:pPr>
      <w:r>
        <w:t xml:space="preserve">Sincerely,</w:t>
      </w:r>
    </w:p>
    <w:p/>
    <w:p>
      <w:pPr>
        <w:spacing w:after="120"/>
      </w:pPr>
      <w:r>
        <w:t xml:space="preserve">R. Calloway</w:t>
      </w:r>
    </w:p>
    <w:p>
      <w:pPr>
        <w:spacing w:after="120"/>
      </w:pPr>
      <w:r>
        <w:t xml:space="preserve">Adjuster, for the insurer</w:t>
      </w:r>
    </w:p>
    <w:p>
      <w:pPr>
        <w:spacing w:after="120"/>
      </w:pPr>
      <w:r>
        <w:t xml:space="preserve">Direct line and reference PC-2026-11482</w:t>
      </w:r>
    </w:p>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sz w:val="16"/>
        <w:szCs w:val="16"/>
      </w:rPr>
      <w:t xml:space="preserve">Page </w:t>
    </w:r>
    <w:r>
      <w:rPr>
        <w:sz w:val="16"/>
        <w:szCs w:val="16"/>
      </w:rPr>
      <w:fldChar w:fldCharType="begin"/>
      <w:instrText xml:space="preserve">PAGE</w:instrText>
      <w:fldChar w:fldCharType="separate"/>
      <w:fldChar w:fldCharType="end"/>
    </w:r>
    <w:r>
      <w:rPr>
        <w:sz w:val="16"/>
        <w:szCs w:val="16"/>
      </w:rPr>
      <w:t xml:space="preserve"> of </w:t>
    </w:r>
    <w:r>
      <w:rPr>
        <w:sz w:val="16"/>
        <w:szCs w:val="16"/>
      </w:rPr>
      <w:fldChar w:fldCharType="begin"/>
      <w:instrText xml:space="preserve">NUMPAGES</w:instrText>
      <w:fldChar w:fldCharType="separate"/>
      <w:fldChar w:fldCharType="end"/>
    </w:r>
    <w:r>
      <w:rPr>
        <w:i/>
        <w:iCs/>
        <w:sz w:val="16"/>
        <w:szCs w:val="16"/>
      </w:rPr>
      <w:t xml:space="preserve">   claims.professionaldrafter.com/recovery/subrogation-referral/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i/>
        <w:iCs/>
        <w:sz w:val="16"/>
        <w:szCs w:val="16"/>
      </w:rPr>
      <w:t xml:space="preserve">Subrogation Referral &amp; Demand Letter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Subrogation Referral &amp; Demand Letter Templates</dc:title>
  <dc:creator>Adjuster Report Library</dc:creator>
  <dc:description>A subrogation referral memo and demand letter, with a filled-in example showing a recovery theory written out. Free Word download, no signup.</dc:description>
  <cp:lastModifiedBy>Un-named</cp:lastModifiedBy>
  <cp:revision>1</cp:revision>
  <dcterms:created xsi:type="dcterms:W3CDTF">2026-10-13T13:35:09.020Z</dcterms:created>
  <dcterms:modified xsi:type="dcterms:W3CDTF">2026-10-13T13:35:09.020Z</dcterms:modified>
</cp:coreProperties>
</file>

<file path=docProps/custom.xml><?xml version="1.0" encoding="utf-8"?>
<Properties xmlns="http://schemas.openxmlformats.org/officeDocument/2006/custom-properties" xmlns:vt="http://schemas.openxmlformats.org/officeDocument/2006/docPropsVTypes"/>
</file>