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Sworn Proof of Loss</w:t>
      </w:r>
    </w:p>
    <w:p>
      <w:pPr>
        <w:spacing w:after="120"/>
      </w:pPr>
      <w:r>
        <w:rPr>
          <w:i/>
          <w:iCs/>
          <w:sz w:val="20"/>
          <w:szCs w:val="20"/>
        </w:rPr>
        <w:t xml:space="preserve">Fillable template. Everything highlighted in yellow is yours to replace — 40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claims.professionaldrafter.com/settlement-and-closing/sworn-proof-of-loss/</w:t>
      </w:r>
    </w:p>
    <w:p/>
    <w:p>
      <w:pPr>
        <w:pStyle w:val="Heading2"/>
      </w:pPr>
      <w:r>
        <w:t xml:space="preserve">Caption and policy identification</w:t>
      </w:r>
    </w:p>
    <w:p>
      <w:pPr>
        <w:spacing w:after="120"/>
      </w:pPr>
      <w:r>
        <w:rPr>
          <w:i/>
          <w:iCs/>
          <w:sz w:val="18"/>
          <w:szCs w:val="18"/>
        </w:rPr>
        <w:t xml:space="preserve">Insurer, policy number, policy term, claim number, named insured and the described location. This block exists so that the sworn document identifies itself without reference to a covering letter, because the two get separated. Confirm the policy number character by character against the declarations page rather than against the claim system, since a transposed digit on a sworn document is a re-execution, not a correction.</w:t>
      </w:r>
    </w:p>
    <w:p>
      <w:pPr>
        <w:spacing w:after="120"/>
      </w:pPr>
      <w:r>
        <w:t xml:space="preserve">Insurer: </w:t>
      </w:r>
      <w:r>
        <w:rPr>
          <w:highlight w:val="yellow"/>
          <w:highlightCs w:val="yellow"/>
        </w:rPr>
        <w:t xml:space="preserve">[ ______________________ ]</w:t>
      </w:r>
    </w:p>
    <w:p>
      <w:pPr>
        <w:spacing w:after="120"/>
      </w:pPr>
      <w:r>
        <w:t xml:space="preserve">Policy number: </w:t>
      </w:r>
      <w:r>
        <w:rPr>
          <w:highlight w:val="yellow"/>
          <w:highlightCs w:val="yellow"/>
        </w:rPr>
        <w:t xml:space="preserve">[ ______________________ ]</w:t>
      </w:r>
    </w:p>
    <w:p>
      <w:pPr>
        <w:spacing w:after="120"/>
      </w:pPr>
      <w:r>
        <w:t xml:space="preserve">Policy term: </w:t>
      </w:r>
      <w:r>
        <w:rPr>
          <w:highlight w:val="yellow"/>
          <w:highlightCs w:val="yellow"/>
        </w:rPr>
        <w:t xml:space="preserve">[ ______________________ ]</w:t>
      </w:r>
    </w:p>
    <w:p>
      <w:pPr>
        <w:spacing w:after="120"/>
      </w:pPr>
      <w:r>
        <w:t xml:space="preserve">Claim number: </w:t>
      </w:r>
      <w:r>
        <w:rPr>
          <w:highlight w:val="yellow"/>
          <w:highlightCs w:val="yellow"/>
        </w:rPr>
        <w:t xml:space="preserve">[ ______________________ ]</w:t>
      </w:r>
    </w:p>
    <w:p>
      <w:pPr>
        <w:spacing w:after="120"/>
      </w:pPr>
      <w:r>
        <w:t xml:space="preserve">Named insured: </w:t>
      </w:r>
      <w:r>
        <w:rPr>
          <w:highlight w:val="yellow"/>
          <w:highlightCs w:val="yellow"/>
        </w:rPr>
        <w:t xml:space="preserve">[ ______________________ ]</w:t>
      </w:r>
    </w:p>
    <w:p>
      <w:pPr>
        <w:spacing w:after="120"/>
      </w:pPr>
      <w:r>
        <w:t xml:space="preserve">Described location: </w:t>
      </w:r>
      <w:r>
        <w:rPr>
          <w:highlight w:val="yellow"/>
          <w:highlightCs w:val="yellow"/>
        </w:rPr>
        <w:t xml:space="preserve">[ ______________________ ]</w:t>
      </w:r>
    </w:p>
    <w:p>
      <w:pPr>
        <w:spacing w:after="120"/>
      </w:pPr>
      <w:r>
        <w:rPr>
          <w:highlight w:val="yellow"/>
          <w:highlightCs w:val="yellow"/>
        </w:rPr>
        <w:t xml:space="preserve">[To: &lt;insurer&gt;. Policy No. &lt;number&gt;, term &lt;from&gt; to &lt;to&gt;. Claim No. &lt;number&gt;. Named insured: &lt;name&gt;. Described location: &lt;address&gt;.]</w:t>
      </w:r>
    </w:p>
    <w:p/>
    <w:p>
      <w:pPr>
        <w:pStyle w:val="Heading2"/>
      </w:pPr>
      <w:r>
        <w:t xml:space="preserve">1. Time and Origin</w:t>
      </w:r>
    </w:p>
    <w:p>
      <w:pPr>
        <w:spacing w:after="120"/>
      </w:pPr>
      <w:r>
        <w:rPr>
          <w:i/>
          <w:iCs/>
          <w:sz w:val="18"/>
          <w:szCs w:val="18"/>
        </w:rPr>
        <w:t xml:space="preserve">When the loss occurred and what caused it, in the insured's own account. Two failure modes sit here. The first is a date of loss that silently contradicts the notice of loss or the recorded statement. The second is a cause written with more certainty than anyone actually has — an insured who swears to a cause that the investigation later revises has created a problem that did not need to exist. Where the timing is genuinely unknown, the honest recital says when the damage was discovered and states that the time of onset is not known.</w:t>
      </w:r>
    </w:p>
    <w:p>
      <w:pPr>
        <w:spacing w:after="120"/>
      </w:pPr>
      <w:r>
        <w:t xml:space="preserve">Date of loss: </w:t>
      </w:r>
      <w:r>
        <w:rPr>
          <w:highlight w:val="yellow"/>
          <w:highlightCs w:val="yellow"/>
        </w:rPr>
        <w:t xml:space="preserve">[ ______________________ ]</w:t>
      </w:r>
    </w:p>
    <w:p>
      <w:pPr>
        <w:spacing w:after="120"/>
      </w:pPr>
      <w:r>
        <w:t xml:space="preserve">Time discovered: </w:t>
      </w:r>
      <w:r>
        <w:rPr>
          <w:highlight w:val="yellow"/>
          <w:highlightCs w:val="yellow"/>
        </w:rPr>
        <w:t xml:space="preserve">[ ______________________ ]</w:t>
      </w:r>
    </w:p>
    <w:p>
      <w:pPr>
        <w:spacing w:after="120"/>
      </w:pPr>
      <w:r>
        <w:t xml:space="preserve">Origin / cause: </w:t>
      </w:r>
      <w:r>
        <w:rPr>
          <w:highlight w:val="yellow"/>
          <w:highlightCs w:val="yellow"/>
        </w:rPr>
        <w:t xml:space="preserve">[ ______________________ ]</w:t>
      </w:r>
    </w:p>
    <w:p>
      <w:pPr>
        <w:spacing w:after="120"/>
      </w:pPr>
      <w:r>
        <w:rPr>
          <w:highlight w:val="yellow"/>
          <w:highlightCs w:val="yellow"/>
        </w:rPr>
        <w:t xml:space="preserve">[The loss occurred on or about &lt;date&gt; at approximately &lt;time&gt;, and was discovered on &lt;date&gt; at approximately &lt;time&gt;. The loss originated from &lt;description of cause, as known to the insured&gt;.]</w:t>
      </w:r>
    </w:p>
    <w:p/>
    <w:p>
      <w:pPr>
        <w:pStyle w:val="Heading2"/>
      </w:pPr>
      <w:r>
        <w:t xml:space="preserve">2. Occupancy</w:t>
      </w:r>
    </w:p>
    <w:p>
      <w:pPr>
        <w:spacing w:after="120"/>
      </w:pPr>
      <w:r>
        <w:rPr>
          <w:i/>
          <w:iCs/>
          <w:sz w:val="18"/>
          <w:szCs w:val="18"/>
        </w:rPr>
        <w:t xml:space="preserve">Who occupied the described premises at the time of loss and in what capacity: owner-occupied dwelling, tenant-occupied, seasonal, vacant, or under renovation. Occupancy is a recital rather than a formality because many property forms treat vacancy and unoccupancy differently from ordinary occupancy, and because a vacancy period is often the fact that explains the rest of the timeline. State what was true, not what is convenient.</w:t>
      </w:r>
    </w:p>
    <w:p>
      <w:pPr>
        <w:spacing w:after="120"/>
      </w:pPr>
      <w:r>
        <w:t xml:space="preserve">Occupancy at time of loss: </w:t>
      </w:r>
      <w:r>
        <w:rPr>
          <w:highlight w:val="yellow"/>
          <w:highlightCs w:val="yellow"/>
        </w:rPr>
        <w:t xml:space="preserve">[ ______________________ ]</w:t>
      </w:r>
    </w:p>
    <w:p>
      <w:pPr>
        <w:spacing w:after="120"/>
      </w:pPr>
      <w:r>
        <w:rPr>
          <w:highlight w:val="yellow"/>
          <w:highlightCs w:val="yellow"/>
        </w:rPr>
        <w:t xml:space="preserve">[At the time of the loss the described premises were occupied as &lt;use&gt;, by &lt;occupants&gt;. &lt;Any period of vacancy or unoccupancy, with dates.&gt;]</w:t>
      </w:r>
    </w:p>
    <w:p/>
    <w:p>
      <w:pPr>
        <w:pStyle w:val="Heading2"/>
      </w:pPr>
      <w:r>
        <w:t xml:space="preserve">3. Title and Interest</w:t>
      </w:r>
    </w:p>
    <w:p>
      <w:pPr>
        <w:spacing w:after="120"/>
      </w:pPr>
      <w:r>
        <w:rPr>
          <w:i/>
          <w:iCs/>
          <w:sz w:val="18"/>
          <w:szCs w:val="18"/>
        </w:rPr>
        <w:t xml:space="preserve">Who owned the property and who else has an interest in it. Mortgagees, lienholders, contract vendors, life tenants, trusts and co-owners belong here, with loan numbers where they exist, because the interest recited on this form is what drives whose name goes on the draft. An omitted mortgagee is a common reason a settlement check has to be voided and reissued. Note that the statutory standard fire policy asks for encumbrances in terms, so this recital and the encumbrance disclosure are usually answered together.</w:t>
      </w:r>
    </w:p>
    <w:p>
      <w:pPr>
        <w:spacing w:after="120"/>
      </w:pPr>
      <w:r>
        <w:t xml:space="preserve">Title vested in: </w:t>
      </w:r>
      <w:r>
        <w:rPr>
          <w:highlight w:val="yellow"/>
          <w:highlightCs w:val="yellow"/>
        </w:rPr>
        <w:t xml:space="preserve">[ ______________________ ]</w:t>
      </w:r>
    </w:p>
    <w:p>
      <w:pPr>
        <w:spacing w:after="120"/>
      </w:pPr>
      <w:r>
        <w:t xml:space="preserve">Other interests: </w:t>
      </w:r>
      <w:r>
        <w:rPr>
          <w:highlight w:val="yellow"/>
          <w:highlightCs w:val="yellow"/>
        </w:rPr>
        <w:t xml:space="preserve">[ ______________________ ]</w:t>
      </w:r>
    </w:p>
    <w:p>
      <w:pPr>
        <w:spacing w:after="120"/>
      </w:pPr>
      <w:r>
        <w:rPr>
          <w:highlight w:val="yellow"/>
          <w:highlightCs w:val="yellow"/>
        </w:rPr>
        <w:t xml:space="preserve">[Title to the property was vested in &lt;name(s)&gt;. The following parties had an interest in the property: &lt;mortgagee/lienholder, loan number, or 'none'&gt;. No other person or entity had any interest in the property except as stated.]</w:t>
      </w:r>
    </w:p>
    <w:p/>
    <w:p>
      <w:pPr>
        <w:pStyle w:val="Heading2"/>
      </w:pPr>
      <w:r>
        <w:t xml:space="preserve">4. Changes</w:t>
      </w:r>
    </w:p>
    <w:p>
      <w:pPr>
        <w:spacing w:after="120"/>
      </w:pPr>
      <w:r>
        <w:rPr>
          <w:i/>
          <w:iCs/>
          <w:sz w:val="18"/>
          <w:szCs w:val="18"/>
        </w:rPr>
        <w:t xml:space="preserve">Any change in the title, use, occupancy, possession, location or exposure of the property since the policy was issued. Most of the time this recital is a single word, and it is still worth pausing on: a converted garage, a new short-term rental arrangement, a tenant who moved in, or a building materially altered since inception all belong here. The recital asks about changes since issuance, not since the loss.</w:t>
      </w:r>
    </w:p>
    <w:p>
      <w:pPr>
        <w:spacing w:after="120"/>
      </w:pPr>
      <w:r>
        <w:t xml:space="preserve">Changes since issuance: </w:t>
      </w:r>
      <w:r>
        <w:rPr>
          <w:highlight w:val="yellow"/>
          <w:highlightCs w:val="yellow"/>
        </w:rPr>
        <w:t xml:space="preserve">[ ______________________ ]</w:t>
      </w:r>
    </w:p>
    <w:p>
      <w:pPr>
        <w:spacing w:after="120"/>
      </w:pPr>
      <w:r>
        <w:rPr>
          <w:highlight w:val="yellow"/>
          <w:highlightCs w:val="yellow"/>
        </w:rPr>
        <w:t xml:space="preserve">[Since the issuance of the policy there has been no change in the title, use, occupancy, possession, location or exposure of the property, except: &lt;describe, or state 'none'&gt;.]</w:t>
      </w:r>
    </w:p>
    <w:p/>
    <w:p>
      <w:pPr>
        <w:pStyle w:val="Heading2"/>
      </w:pPr>
      <w:r>
        <w:t xml:space="preserve">5. Total Insurance</w:t>
      </w:r>
    </w:p>
    <w:p>
      <w:pPr>
        <w:spacing w:after="120"/>
      </w:pPr>
      <w:r>
        <w:rPr>
          <w:i/>
          <w:iCs/>
          <w:sz w:val="18"/>
          <w:szCs w:val="18"/>
        </w:rPr>
        <w:t xml:space="preserve">Every policy covering the property at the time of loss, not merely the one being claimed against. List the insurer, the policy number and the applicable limits, and state affirmatively that no other insurance was in force if that is the case. This recital is what makes any later contribution or other-insurance question answerable from the file rather than from a fresh investigation, and it is the one insureds most often complete from memory.</w:t>
      </w:r>
    </w:p>
    <w:p>
      <w:pPr>
        <w:spacing w:after="120"/>
      </w:pPr>
      <w:r>
        <w:t xml:space="preserve">Total insurance in force: </w:t>
      </w:r>
      <w:r>
        <w:rPr>
          <w:highlight w:val="yellow"/>
          <w:highlightCs w:val="yellow"/>
        </w:rPr>
        <w:t xml:space="preserve">[ ______________________ ]</w:t>
      </w:r>
    </w:p>
    <w:p>
      <w:pPr>
        <w:spacing w:after="120"/>
      </w:pPr>
      <w:r>
        <w:rPr>
          <w:highlight w:val="yellow"/>
          <w:highlightCs w:val="yellow"/>
        </w:rPr>
        <w:t xml:space="preserve">[The total amount of insurance covering the property at the time of loss was $&lt;amount&gt;, as follows: &lt;insurer, policy number, coverage, limit&gt;. No other insurance was in force on the described property except as stated.]</w:t>
      </w:r>
    </w:p>
    <w:p>
      <w:pPr>
        <w:pStyle w:val="ListParagraph"/>
        <w:numPr>
          <w:ilvl w:val="0"/>
          <w:numId w:val="1"/>
        </w:numPr>
        <w:spacing w:after="80"/>
      </w:pPr>
      <w:r>
        <w:t xml:space="preserve">Coverage A — Dwelling: $&lt;limit&gt;</w:t>
      </w:r>
    </w:p>
    <w:p>
      <w:pPr>
        <w:pStyle w:val="ListParagraph"/>
        <w:numPr>
          <w:ilvl w:val="0"/>
          <w:numId w:val="1"/>
        </w:numPr>
        <w:spacing w:after="80"/>
      </w:pPr>
      <w:r>
        <w:t xml:space="preserve">Coverage B — Other structures: $&lt;limit&gt;</w:t>
      </w:r>
    </w:p>
    <w:p>
      <w:pPr>
        <w:pStyle w:val="ListParagraph"/>
        <w:numPr>
          <w:ilvl w:val="0"/>
          <w:numId w:val="1"/>
        </w:numPr>
        <w:spacing w:after="80"/>
      </w:pPr>
      <w:r>
        <w:t xml:space="preserve">Coverage C — Personal property: $&lt;limit&gt;</w:t>
      </w:r>
    </w:p>
    <w:p>
      <w:pPr>
        <w:pStyle w:val="ListParagraph"/>
        <w:numPr>
          <w:ilvl w:val="0"/>
          <w:numId w:val="1"/>
        </w:numPr>
        <w:spacing w:after="80"/>
      </w:pPr>
      <w:r>
        <w:t xml:space="preserve">Coverage D — Loss of use / additional living expense: $&lt;limit or basis&gt;</w:t>
      </w:r>
    </w:p>
    <w:p>
      <w:pPr>
        <w:pStyle w:val="ListParagraph"/>
        <w:numPr>
          <w:ilvl w:val="0"/>
          <w:numId w:val="1"/>
        </w:numPr>
        <w:spacing w:after="80"/>
      </w:pPr>
      <w:r>
        <w:t xml:space="preserve">Other policies covering the same property: &lt;insurer, number, limit, or 'none'&gt;</w:t>
      </w:r>
    </w:p>
    <w:p/>
    <w:p>
      <w:pPr>
        <w:pStyle w:val="Heading2"/>
      </w:pPr>
      <w:r>
        <w:t xml:space="preserve">6. Actual Cash Value</w:t>
      </w:r>
    </w:p>
    <w:p>
      <w:pPr>
        <w:spacing w:after="120"/>
      </w:pPr>
      <w:r>
        <w:rPr>
          <w:i/>
          <w:iCs/>
          <w:sz w:val="18"/>
          <w:szCs w:val="18"/>
        </w:rPr>
        <w:t xml:space="preserve">The actual cash value of the property at the time of loss, stated by coverage. ACV is measured differently from state to state. California defines it by statute as the cost to repair, rebuild or replace less a fair and reasonable deduction for physical depreciation, with the depreciation restricted to components that normally require repair or replacement during the structure's useful life, while other states apply a broad-evidence rule instead. Do not write a general rule into this recital. Write the figure, and say on the face of the document which method produced it and where the supporting schedule lives.</w:t>
      </w:r>
    </w:p>
    <w:p>
      <w:pPr>
        <w:spacing w:after="120"/>
      </w:pPr>
      <w:r>
        <w:t xml:space="preserve">ACV — dwelling: </w:t>
      </w:r>
      <w:r>
        <w:rPr>
          <w:highlight w:val="yellow"/>
          <w:highlightCs w:val="yellow"/>
        </w:rPr>
        <w:t xml:space="preserve">[ ______________________ ]</w:t>
      </w:r>
    </w:p>
    <w:p>
      <w:pPr>
        <w:spacing w:after="120"/>
      </w:pPr>
      <w:r>
        <w:t xml:space="preserve">ACV — personal property: </w:t>
      </w:r>
      <w:r>
        <w:rPr>
          <w:highlight w:val="yellow"/>
          <w:highlightCs w:val="yellow"/>
        </w:rPr>
        <w:t xml:space="preserve">[ ______________________ ]</w:t>
      </w:r>
    </w:p>
    <w:p>
      <w:pPr>
        <w:spacing w:after="120"/>
      </w:pPr>
      <w:r>
        <w:t xml:space="preserve">Basis of computation: </w:t>
      </w:r>
      <w:r>
        <w:rPr>
          <w:highlight w:val="yellow"/>
          <w:highlightCs w:val="yellow"/>
        </w:rPr>
        <w:t xml:space="preserve">[ ______________________ ]</w:t>
      </w:r>
    </w:p>
    <w:p>
      <w:pPr>
        <w:spacing w:after="120"/>
      </w:pPr>
      <w:r>
        <w:rPr>
          <w:highlight w:val="yellow"/>
          <w:highlightCs w:val="yellow"/>
        </w:rPr>
        <w:t xml:space="preserve">[The actual cash value of the property at the time of loss was $&lt;amount&gt;, computed as follows: &lt;basis and reference to the attached depreciation schedule&gt;.]</w:t>
      </w:r>
    </w:p>
    <w:p/>
    <w:p>
      <w:pPr>
        <w:pStyle w:val="Heading2"/>
      </w:pPr>
      <w:r>
        <w:t xml:space="preserve">7. Total Loss and Damage</w:t>
      </w:r>
    </w:p>
    <w:p>
      <w:pPr>
        <w:spacing w:after="120"/>
      </w:pPr>
      <w:r>
        <w:rPr>
          <w:i/>
          <w:iCs/>
          <w:sz w:val="18"/>
          <w:szCs w:val="18"/>
        </w:rPr>
        <w:t xml:space="preserve">The whole loss and damage, before any deduction. Attach the estimate and the contents inventory rather than restating them; the recital carries the totals and the attachments carry the detail. Keep the replacement cost and actual cash value figures visibly distinct here, because a proof of loss claiming replacement cost on a policy that pays actual cash value until repairs are complete is the single most common reason one comes back.</w:t>
      </w:r>
    </w:p>
    <w:p>
      <w:pPr>
        <w:spacing w:after="120"/>
      </w:pPr>
      <w:r>
        <w:t xml:space="preserve">Total loss — RCV: </w:t>
      </w:r>
      <w:r>
        <w:rPr>
          <w:highlight w:val="yellow"/>
          <w:highlightCs w:val="yellow"/>
        </w:rPr>
        <w:t xml:space="preserve">[ ______________________ ]</w:t>
      </w:r>
    </w:p>
    <w:p>
      <w:pPr>
        <w:spacing w:after="120"/>
      </w:pPr>
      <w:r>
        <w:t xml:space="preserve">Total loss — ACV: </w:t>
      </w:r>
      <w:r>
        <w:rPr>
          <w:highlight w:val="yellow"/>
          <w:highlightCs w:val="yellow"/>
        </w:rPr>
        <w:t xml:space="preserve">[ ______________________ ]</w:t>
      </w:r>
    </w:p>
    <w:p>
      <w:pPr>
        <w:spacing w:after="120"/>
      </w:pPr>
      <w:r>
        <w:t xml:space="preserve">Attachments: </w:t>
      </w:r>
      <w:r>
        <w:rPr>
          <w:highlight w:val="yellow"/>
          <w:highlightCs w:val="yellow"/>
        </w:rPr>
        <w:t xml:space="preserve">[ ______________________ ]</w:t>
      </w:r>
    </w:p>
    <w:p>
      <w:pPr>
        <w:spacing w:after="120"/>
      </w:pPr>
      <w:r>
        <w:rPr>
          <w:highlight w:val="yellow"/>
          <w:highlightCs w:val="yellow"/>
        </w:rPr>
        <w:t xml:space="preserve">[The whole loss and damage was $&lt;amount&gt; replacement cost value / $&lt;amount&gt; actual cash value, itemized on the attached estimate dated &lt;date&gt; and inventory dated &lt;date&gt;.]</w:t>
      </w:r>
    </w:p>
    <w:p/>
    <w:p>
      <w:pPr>
        <w:pStyle w:val="Heading2"/>
      </w:pPr>
      <w:r>
        <w:t xml:space="preserve">8. Less Deductible</w:t>
      </w:r>
    </w:p>
    <w:p>
      <w:pPr>
        <w:spacing w:after="120"/>
      </w:pPr>
      <w:r>
        <w:rPr>
          <w:i/>
          <w:iCs/>
          <w:sz w:val="18"/>
          <w:szCs w:val="18"/>
        </w:rPr>
        <w:t xml:space="preserve">The deductible, the amount of it, and how many times it applies. Say which occurrence it is applied to and note it if it has already been taken out of an advance payment, because a deductible applied twice, once against the advance and once against the balance, is a reconciliation error that surfaces months later when the insured adds up the drafts.</w:t>
      </w:r>
    </w:p>
    <w:p>
      <w:pPr>
        <w:spacing w:after="120"/>
      </w:pPr>
      <w:r>
        <w:t xml:space="preserve">Deductible: </w:t>
      </w:r>
      <w:r>
        <w:rPr>
          <w:highlight w:val="yellow"/>
          <w:highlightCs w:val="yellow"/>
        </w:rPr>
        <w:t xml:space="preserve">[ ______________________ ]</w:t>
      </w:r>
    </w:p>
    <w:p>
      <w:pPr>
        <w:spacing w:after="120"/>
      </w:pPr>
      <w:r>
        <w:t xml:space="preserve">Times applied: </w:t>
      </w:r>
      <w:r>
        <w:rPr>
          <w:highlight w:val="yellow"/>
          <w:highlightCs w:val="yellow"/>
        </w:rPr>
        <w:t xml:space="preserve">[ ______________________ ]</w:t>
      </w:r>
    </w:p>
    <w:p>
      <w:pPr>
        <w:spacing w:after="120"/>
      </w:pPr>
      <w:r>
        <w:rPr>
          <w:highlight w:val="yellow"/>
          <w:highlightCs w:val="yellow"/>
        </w:rPr>
        <w:t xml:space="preserve">[Less deductible of $&lt;amount&gt;, applied &lt;once / per the policy provision&gt; to this occurrence. &lt;State whether the deductible has already been applied to a prior payment.&gt;]</w:t>
      </w:r>
    </w:p>
    <w:p/>
    <w:p>
      <w:pPr>
        <w:pStyle w:val="Heading2"/>
      </w:pPr>
      <w:r>
        <w:t xml:space="preserve">9. Amount Claimed</w:t>
      </w:r>
    </w:p>
    <w:p>
      <w:pPr>
        <w:spacing w:after="120"/>
      </w:pPr>
      <w:r>
        <w:rPr>
          <w:i/>
          <w:iCs/>
          <w:sz w:val="18"/>
          <w:szCs w:val="18"/>
        </w:rPr>
        <w:t xml:space="preserve">The bottom line, and it should be arithmetic: total loss and damage, less deductible, less any amount already paid, equals the amount now claimed. Show the subtraction on the face of the form. Where an advance has been issued, credit it here by amount and date rather than leaving the reader to find the draft. A proof of loss whose final number cannot be derived from the recitals above it is the version that gets returned.</w:t>
      </w:r>
    </w:p>
    <w:p>
      <w:pPr>
        <w:spacing w:after="120"/>
      </w:pPr>
      <w:r>
        <w:t xml:space="preserve">Amount claimed: </w:t>
      </w:r>
      <w:r>
        <w:rPr>
          <w:highlight w:val="yellow"/>
          <w:highlightCs w:val="yellow"/>
        </w:rPr>
        <w:t xml:space="preserve">[ ______________________ ]</w:t>
      </w:r>
    </w:p>
    <w:p>
      <w:pPr>
        <w:spacing w:after="120"/>
      </w:pPr>
      <w:r>
        <w:rPr>
          <w:highlight w:val="yellow"/>
          <w:highlightCs w:val="yellow"/>
        </w:rPr>
        <w:t xml:space="preserve">[The amount claimed under the above numbered policy is $&lt;amount&gt;, computed as: total loss and damage $&lt;amount&gt;, less deductible $&lt;amount&gt;, less advance payment(s) of $&lt;amount&gt; issued &lt;date&gt;.]</w:t>
      </w:r>
    </w:p>
    <w:p/>
    <w:p>
      <w:pPr>
        <w:pStyle w:val="Heading2"/>
      </w:pPr>
      <w:r>
        <w:t xml:space="preserve">Attestation</w:t>
      </w:r>
    </w:p>
    <w:p>
      <w:pPr>
        <w:spacing w:after="120"/>
      </w:pPr>
      <w:r>
        <w:rPr>
          <w:i/>
          <w:iCs/>
          <w:sz w:val="18"/>
          <w:szCs w:val="18"/>
        </w:rPr>
        <w:t xml:space="preserve">The insured's sworn statement that the foregoing is true, that nothing has been concealed, and, in most forms, an acknowledgment that no representation by the insurer has waived any policy condition. This paragraph is why the document exists. Do not paraphrase whatever wording the form in front of you carries, and do not let an insured sign an attestation covering figures they have not read.</w:t>
      </w:r>
    </w:p>
    <w:p>
      <w:pPr>
        <w:spacing w:after="120"/>
      </w:pPr>
      <w:r>
        <w:rPr>
          <w:highlight w:val="yellow"/>
          <w:highlightCs w:val="yellow"/>
        </w:rPr>
        <w:t xml:space="preserve">[The insured states that the foregoing is a true and complete statement of all the facts and circumstances concerning the loss, that no attempt has been made to deceive the insurer, and that nothing has been concealed or misrepresented. It is understood that no waiver of any policy condition arises from the taking of this proof of loss.]</w:t>
      </w:r>
    </w:p>
    <w:p/>
    <w:p>
      <w:pPr>
        <w:pStyle w:val="Heading2"/>
      </w:pPr>
      <w:r>
        <w:t xml:space="preserve">State, County, signature and notary jurat</w:t>
      </w:r>
    </w:p>
    <w:p>
      <w:pPr>
        <w:spacing w:after="120"/>
      </w:pPr>
      <w:r>
        <w:rPr>
          <w:i/>
          <w:iCs/>
          <w:sz w:val="18"/>
          <w:szCs w:val="18"/>
        </w:rPr>
        <w:t xml:space="preserve">The venue block, the insured's signature, and the jurat by which the notary certifies that the document was signed and sworn to in their presence. Two practical points. The signature belongs on the form after the figures are final, not before. A form signed in advance and completed afterward is not what it says it is. And the jurat wording, the identification requirement and whether a personal appearance can be satisfied remotely are all set by the law of the state where the signing happens, so leave the notarial certificate to the notary rather than pre-filling it.</w:t>
      </w:r>
    </w:p>
    <w:p>
      <w:pPr>
        <w:spacing w:after="120"/>
      </w:pPr>
      <w:r>
        <w:t xml:space="preserve">State: </w:t>
      </w:r>
      <w:r>
        <w:rPr>
          <w:highlight w:val="yellow"/>
          <w:highlightCs w:val="yellow"/>
        </w:rPr>
        <w:t xml:space="preserve">[ ______________________ ]</w:t>
      </w:r>
    </w:p>
    <w:p>
      <w:pPr>
        <w:spacing w:after="120"/>
      </w:pPr>
      <w:r>
        <w:t xml:space="preserve">County: </w:t>
      </w:r>
      <w:r>
        <w:rPr>
          <w:highlight w:val="yellow"/>
          <w:highlightCs w:val="yellow"/>
        </w:rPr>
        <w:t xml:space="preserve">[ ______________________ ]</w:t>
      </w:r>
    </w:p>
    <w:p>
      <w:pPr>
        <w:spacing w:after="120"/>
      </w:pPr>
      <w:r>
        <w:t xml:space="preserve">Date sworn: </w:t>
      </w:r>
      <w:r>
        <w:rPr>
          <w:highlight w:val="yellow"/>
          <w:highlightCs w:val="yellow"/>
        </w:rPr>
        <w:t xml:space="preserve">[ ______________________ ]</w:t>
      </w:r>
    </w:p>
    <w:p>
      <w:pPr>
        <w:spacing w:after="120"/>
      </w:pPr>
      <w:r>
        <w:t xml:space="preserve">Insured signature: </w:t>
      </w:r>
      <w:r>
        <w:rPr>
          <w:highlight w:val="yellow"/>
          <w:highlightCs w:val="yellow"/>
        </w:rPr>
        <w:t xml:space="preserve">[ ______________________ ]</w:t>
      </w:r>
    </w:p>
    <w:p>
      <w:pPr>
        <w:spacing w:after="120"/>
      </w:pPr>
      <w:r>
        <w:t xml:space="preserve">Notary commission and expiry: </w:t>
      </w:r>
      <w:r>
        <w:rPr>
          <w:highlight w:val="yellow"/>
          <w:highlightCs w:val="yellow"/>
        </w:rPr>
        <w:t xml:space="preserve">[ ______________________ ]</w:t>
      </w:r>
    </w:p>
    <w:p>
      <w:pPr>
        <w:spacing w:after="120"/>
      </w:pPr>
      <w:r>
        <w:rPr>
          <w:highlight w:val="yellow"/>
          <w:highlightCs w:val="yellow"/>
        </w:rPr>
        <w:t xml:space="preserve">[State of &lt;state&gt;, County of &lt;county&gt;. Subscribed and sworn to before me this &lt;day&gt; day of &lt;month&gt;, &lt;year&gt;, by &lt;name of insured&gt;. &lt;Notary signature, printed name, commission number, commission expiry, seal.&gt;]</w:t>
      </w:r>
    </w:p>
    <w:p/>
    <w:p>
      <w:pPr>
        <w:spacing w:before="240"/>
      </w:pPr>
      <w:r>
        <w:rPr>
          <w:i/>
          <w:iCs/>
          <w:sz w:val="18"/>
          <w:szCs w:val="18"/>
        </w:rPr>
        <w:t xml:space="preserve">This template is a general drafting aid. It is not legal advice and not a coverage opinion. Claim handling requirements vary by state, and the policy actually issued governs the claim. Adapt this to your file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scenario: a completed sworn proof of loss on the Harbour Lane water loss, claim PC-2026-11482, executed while one factual question is still open. The duration of the release has not been determined, the insured's recital says so in terms rather than guessing, and the form is submitted with that gap visible instead of papered over.</w:t>
      </w:r>
    </w:p>
    <w:p/>
    <w:p>
      <w:pPr>
        <w:pStyle w:val="Heading2"/>
      </w:pPr>
      <w:r>
        <w:t xml:space="preserve">Caption and policy identification</w:t>
      </w:r>
    </w:p>
    <w:p>
      <w:pPr>
        <w:spacing w:after="120"/>
      </w:pPr>
      <w:r>
        <w:t xml:space="preserve">To: the insurer under Policy No. HO-4471903, term 1 March 2026 to 1 March 2027. Claim No. PC-2026-11482. Named insured: D. Okonjo. Described location: 118 Harbour Lane, a single-family dwelling. Adjuster of record: R. Calloway. Examiner: C. Mendez. Form furnished to the insured 22 July 2026 with a covering letter requesting completion.</w:t>
      </w:r>
    </w:p>
    <w:p/>
    <w:p>
      <w:pPr>
        <w:pStyle w:val="Heading2"/>
      </w:pPr>
      <w:r>
        <w:t xml:space="preserve">1. Time and Origin</w:t>
      </w:r>
    </w:p>
    <w:p>
      <w:pPr>
        <w:spacing w:after="120"/>
      </w:pPr>
      <w:r>
        <w:t xml:space="preserve">The loss was discovered on 14 July 2026 at approximately 07:15, when the insured returned to the dwelling and found standing water in the hallway. The dwelling was last occupied at approximately 18:00 on Friday 11 July 2026.</w:t>
      </w:r>
    </w:p>
    <w:p/>
    <w:p>
      <w:pPr>
        <w:spacing w:after="120"/>
      </w:pPr>
      <w:r>
        <w:t xml:space="preserve">The loss originated from the failure of a braided stainless steel supply line to the water heater, which separated at the crimped fitting at the heater end. The exact time at which the line separated is not known to the insured, and no estimate of it is offered here. The insured was absent from the premises for the whole of the interval between last occupancy and discovery, an interval of approximately 61 hours.</w:t>
      </w:r>
    </w:p>
    <w:p/>
    <w:p>
      <w:pPr>
        <w:pStyle w:val="Heading2"/>
      </w:pPr>
      <w:r>
        <w:t xml:space="preserve">2. Occupancy</w:t>
      </w:r>
    </w:p>
    <w:p>
      <w:pPr>
        <w:spacing w:after="120"/>
      </w:pPr>
      <w:r>
        <w:t xml:space="preserve">At the time of the loss the described premises were occupied as the insured's principal residence, by the insured. The premises were unoccupied but not vacant between approximately 18:00 on 11 July 2026 and 07:15 on 14 July 2026, and again between 15 and 17 July 2026 while the insured was out of state. Furnishings and personal property remained in the dwelling throughout. The dwelling has remained habitable since the loss and the insured has not vacated.</w:t>
      </w:r>
    </w:p>
    <w:p/>
    <w:p>
      <w:pPr>
        <w:pStyle w:val="Heading2"/>
      </w:pPr>
      <w:r>
        <w:t xml:space="preserve">3. Title and Interest</w:t>
      </w:r>
    </w:p>
    <w:p>
      <w:pPr>
        <w:spacing w:after="120"/>
      </w:pPr>
      <w:r>
        <w:t xml:space="preserve">Title to the property was vested in D. Okonjo, sole owner, at the time of loss. Harbour County Savings holds a first mortgage under loan number 6620-114. No other person or entity had any interest in the property. Feldstrom Plumbing performed the water heater replacement referred to below but holds no interest in the property.</w:t>
      </w:r>
    </w:p>
    <w:p/>
    <w:p>
      <w:pPr>
        <w:pStyle w:val="Heading2"/>
      </w:pPr>
      <w:r>
        <w:t xml:space="preserve">4. Changes</w:t>
      </w:r>
    </w:p>
    <w:p>
      <w:pPr>
        <w:spacing w:after="120"/>
      </w:pPr>
      <w:r>
        <w:t xml:space="preserve">Since the issuance of the policy there has been no change in the title, use, occupancy, possession, location or exposure of the property, except that the shelving in the hallway closet was raised from the slab to a racking system approximately six inches above slab in April 2026. No structural alteration, no change of use and no rental of any part of the premises has occurred.</w:t>
      </w:r>
    </w:p>
    <w:p/>
    <w:p>
      <w:pPr>
        <w:pStyle w:val="Heading2"/>
      </w:pPr>
      <w:r>
        <w:t xml:space="preserve">5. Total Insurance</w:t>
      </w:r>
    </w:p>
    <w:p>
      <w:pPr>
        <w:spacing w:after="120"/>
      </w:pPr>
      <w:r>
        <w:t xml:space="preserve">The total amount of insurance covering the property at the time of loss was carried under Policy No. HO-4471903 alone, as follows: Coverage A, dwelling, $310,000; Coverage B, other structures, $31,000; Coverage C, unscheduled personal property, $155,000; Coverage D, additional living expense, actual loss sustained for 12 months.</w:t>
      </w:r>
    </w:p>
    <w:p/>
    <w:p>
      <w:pPr>
        <w:spacing w:after="120"/>
      </w:pPr>
      <w:r>
        <w:t xml:space="preserve">No other insurance was in force on the described property at the time of loss. The insured holds no separate flood policy, no scheduled personal property endorsement and no equipment breakdown coverage on this risk.</w:t>
      </w:r>
    </w:p>
    <w:p/>
    <w:p>
      <w:pPr>
        <w:pStyle w:val="Heading2"/>
      </w:pPr>
      <w:r>
        <w:t xml:space="preserve">6. Actual Cash Value</w:t>
      </w:r>
    </w:p>
    <w:p>
      <w:pPr>
        <w:spacing w:after="120"/>
      </w:pPr>
      <w:r>
        <w:t xml:space="preserve">The actual cash value of the damaged property at the time of loss was $17,890, made up of $15,940 under Coverage A and $1,950 under Coverage C.</w:t>
      </w:r>
    </w:p>
    <w:p/>
    <w:p>
      <w:pPr>
        <w:spacing w:after="120"/>
      </w:pPr>
      <w:r>
        <w:t xml:space="preserve">The Coverage A figure is the estimated cost to repair the damaged drywall, base trim and closet surround, less depreciation applied to the base trim and the closet surround only; the drywall and the slab cleaning and drying were not depreciated. The Coverage C figure is the depreciated value of 14 cartons of stored books, taken from the inventory the insured provided on 18 July 2026. Both are itemized on the depreciation schedule attached to the estimate.</w:t>
      </w:r>
    </w:p>
    <w:p/>
    <w:p>
      <w:pPr>
        <w:pStyle w:val="Heading2"/>
      </w:pPr>
      <w:r>
        <w:t xml:space="preserve">7. Total Loss and Damage</w:t>
      </w:r>
    </w:p>
    <w:p>
      <w:pPr>
        <w:spacing w:after="120"/>
      </w:pPr>
      <w:r>
        <w:t xml:space="preserve">The whole loss and damage was $18,340 replacement cost value and $17,890 actual cash value, made up as follows: Coverage A, $16,140 RCV and $15,940 ACV; Coverage C, $2,200 RCV and $1,950 ACV. No claim is made under Coverage B; the detached garage was inspected on 18 July 2026 and no water intrusion was found. No claim is made under Coverage D; the dwelling remained habitable and no additional living expense has been incurred.</w:t>
      </w:r>
    </w:p>
    <w:p/>
    <w:p>
      <w:pPr>
        <w:spacing w:after="120"/>
      </w:pPr>
      <w:r>
        <w:t xml:space="preserve">Itemized on the estimate dated 22 July 2026 (31 linear feet of drywall wet to 14 inches above slab, removed and replaced to 24 inches, base trim replaced, slab cleaned and dried, closet surround replaced) and on the contents inventory dated 18 July 2026, both attached.</w:t>
      </w:r>
    </w:p>
    <w:p/>
    <w:p>
      <w:pPr>
        <w:pStyle w:val="Heading2"/>
      </w:pPr>
      <w:r>
        <w:t xml:space="preserve">8. Less Deductible</w:t>
      </w:r>
    </w:p>
    <w:p>
      <w:pPr>
        <w:spacing w:after="120"/>
      </w:pPr>
      <w:r>
        <w:t xml:space="preserve">Less the all-peril deductible of $2,500, applied once to this occurrence. The deductible has already been applied in full to the advance payment issued on 24 July 2026 and is therefore shown here for the arithmetic only; it is not deducted a second time from the balance claimed below.</w:t>
      </w:r>
    </w:p>
    <w:p/>
    <w:p>
      <w:pPr>
        <w:pStyle w:val="Heading2"/>
      </w:pPr>
      <w:r>
        <w:t xml:space="preserve">9. Amount Claimed</w:t>
      </w:r>
    </w:p>
    <w:p>
      <w:pPr>
        <w:spacing w:after="120"/>
      </w:pPr>
      <w:r>
        <w:t xml:space="preserve">The amount claimed under the above numbered policy is $15,390, computed as follows: total loss and damage on an actual cash value basis $17,890, less deductible $2,500, giving $15,390. Of that amount, $4,000 was received by way of advance payment issued 24 July 2026 against Coverage A, leaving a balance of $11,390 now claimed.</w:t>
      </w:r>
    </w:p>
    <w:p/>
    <w:p>
      <w:pPr>
        <w:spacing w:after="120"/>
      </w:pPr>
      <w:r>
        <w:t xml:space="preserve">The insured reserves the right to submit a supplemental claim for the withheld recoverable depreciation of $450 on completion of repairs, in accordance with the replacement cost provision, and for any additional damage discovered during repair.</w:t>
      </w:r>
    </w:p>
    <w:p/>
    <w:p>
      <w:pPr>
        <w:pStyle w:val="Heading2"/>
      </w:pPr>
      <w:r>
        <w:t xml:space="preserve">Attestation</w:t>
      </w:r>
    </w:p>
    <w:p>
      <w:pPr>
        <w:spacing w:after="120"/>
      </w:pPr>
      <w:r>
        <w:t xml:space="preserve">The insured states that the foregoing is a true and complete statement of all the facts and circumstances concerning the loss so far as they are known to him, that no attempt has been made to deceive the insurer, and that nothing has been concealed or misrepresented. The insured states further that he does not know when the supply line separated and has not attempted to estimate it. It is understood that no waiver of any condition of the policy arises from the taking of this proof of loss, and that the insurer's acceptance or rejection of it remains outstanding at the date of signature.</w:t>
      </w:r>
    </w:p>
    <w:p/>
    <w:p>
      <w:pPr>
        <w:pStyle w:val="Heading2"/>
      </w:pPr>
      <w:r>
        <w:t xml:space="preserve">State, County, signature and notary jurat</w:t>
      </w:r>
    </w:p>
    <w:p>
      <w:pPr>
        <w:spacing w:after="120"/>
      </w:pPr>
      <w:r>
        <w:t xml:space="preserve">State of Delmar, County of Harbour. Subscribed and sworn to before me this 4th day of August, 2026, by D. Okonjo, personally known to me / identified by driver's license.</w:t>
      </w:r>
    </w:p>
    <w:p/>
    <w:p>
      <w:pPr>
        <w:spacing w:after="120"/>
      </w:pPr>
      <w:r>
        <w:t xml:space="preserve">Signed: D. Okonjo, insured, 4 August 2026. Notary: M. Adeyemi, commission 22-41908, expires 30 June 2029, seal affixed.</w:t>
      </w:r>
    </w:p>
    <w:p/>
    <w:p>
      <w:pPr>
        <w:spacing w:after="120"/>
      </w:pPr>
      <w:r>
        <w:t xml:space="preserve">File note by R. Calloway, 5 August 2026: this is the first execution. An unsigned draft circulated on 29 July showed the amount claimed at $15,390 with no credit for the advance of 24 July and no balance line, and rather than correct that draft it was destroyed and this form completed and executed fresh. Nothing on a sworn document is corrected in ink.</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claims.professionaldrafter.com/settlement-and-closing/sworn-proof-of-loss/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Sworn Proof of Loss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Sworn Proof of Loss Template &amp; Completed Example</dc:title>
  <dc:creator>Adjuster Report Library</dc:creator>
  <dc:description>The sworn proof of loss in its nine standard recitals, with a completed example, the attestation and the notary jurat explained. Free Word download, no signup.</dc:description>
  <cp:lastModifiedBy>Un-named</cp:lastModifiedBy>
  <cp:revision>1</cp:revision>
  <dcterms:created xsi:type="dcterms:W3CDTF">2026-10-13T13:35:09.065Z</dcterms:created>
  <dcterms:modified xsi:type="dcterms:W3CDTF">2026-10-13T13:35:09.065Z</dcterms:modified>
</cp:coreProperties>
</file>

<file path=docProps/custom.xml><?xml version="1.0" encoding="utf-8"?>
<Properties xmlns="http://schemas.openxmlformats.org/officeDocument/2006/custom-properties" xmlns:vt="http://schemas.openxmlformats.org/officeDocument/2006/docPropsVTypes"/>
</file>